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474EA">
      <w:pPr>
        <w:spacing w:beforeLines="100"/>
        <w:jc w:val="center"/>
        <w:rPr>
          <w:rFonts w:ascii="宋体" w:hAnsi="宋体" w:cs="宋体"/>
          <w:b/>
          <w:sz w:val="36"/>
          <w:szCs w:val="36"/>
        </w:rPr>
      </w:pPr>
      <w:r>
        <w:rPr>
          <w:rFonts w:hint="eastAsia" w:ascii="宋体" w:hAnsi="宋体" w:cs="宋体"/>
          <w:b/>
          <w:sz w:val="44"/>
          <w:szCs w:val="44"/>
        </w:rPr>
        <w:t>皇岗海关29栋、31栋、33栋、34栋公有住房修缮项目</w:t>
      </w:r>
    </w:p>
    <w:p w14:paraId="2E0B9C6D">
      <w:pPr>
        <w:spacing w:beforeLines="100"/>
        <w:rPr>
          <w:rFonts w:ascii="宋体" w:hAnsi="宋体" w:cs="宋体"/>
          <w:b/>
          <w:sz w:val="36"/>
          <w:szCs w:val="36"/>
        </w:rPr>
      </w:pPr>
    </w:p>
    <w:p w14:paraId="2F7B8D26">
      <w:pPr>
        <w:spacing w:beforeLines="100"/>
        <w:rPr>
          <w:rFonts w:ascii="宋体" w:hAnsi="宋体" w:cs="宋体"/>
          <w:b/>
          <w:sz w:val="36"/>
          <w:szCs w:val="36"/>
        </w:rPr>
      </w:pPr>
    </w:p>
    <w:p w14:paraId="5700B9CC">
      <w:pPr>
        <w:spacing w:beforeLines="100"/>
        <w:rPr>
          <w:rFonts w:ascii="宋体" w:hAnsi="宋体" w:cs="宋体"/>
          <w:b/>
          <w:sz w:val="36"/>
          <w:szCs w:val="36"/>
        </w:rPr>
      </w:pPr>
    </w:p>
    <w:p w14:paraId="296C8F9F">
      <w:pPr>
        <w:spacing w:line="360" w:lineRule="auto"/>
        <w:jc w:val="center"/>
        <w:rPr>
          <w:rFonts w:ascii="宋体" w:hAnsi="宋体" w:cs="宋体"/>
          <w:b/>
          <w:spacing w:val="80"/>
          <w:sz w:val="72"/>
          <w:szCs w:val="72"/>
        </w:rPr>
      </w:pPr>
      <w:bookmarkStart w:id="0" w:name="_Toc467278589"/>
      <w:bookmarkStart w:id="1" w:name="_Toc446458637"/>
      <w:bookmarkStart w:id="2" w:name="_Toc438682451"/>
      <w:r>
        <w:rPr>
          <w:rFonts w:ascii="宋体" w:hAnsi="宋体" w:cs="宋体"/>
          <w:b/>
          <w:spacing w:val="80"/>
          <w:sz w:val="72"/>
          <w:szCs w:val="72"/>
        </w:rPr>
        <w:t>竞争性磋商</w:t>
      </w:r>
      <w:r>
        <w:rPr>
          <w:rFonts w:hint="eastAsia" w:ascii="宋体" w:hAnsi="宋体" w:cs="宋体"/>
          <w:b/>
          <w:spacing w:val="80"/>
          <w:sz w:val="72"/>
          <w:szCs w:val="72"/>
        </w:rPr>
        <w:t>文件</w:t>
      </w:r>
      <w:bookmarkEnd w:id="0"/>
      <w:bookmarkEnd w:id="1"/>
      <w:bookmarkEnd w:id="2"/>
    </w:p>
    <w:p w14:paraId="5AD77F43">
      <w:pPr>
        <w:spacing w:line="360" w:lineRule="auto"/>
        <w:jc w:val="center"/>
        <w:rPr>
          <w:rFonts w:ascii="宋体" w:hAnsi="宋体" w:cs="宋体"/>
          <w:b/>
          <w:sz w:val="30"/>
          <w:szCs w:val="30"/>
        </w:rPr>
      </w:pPr>
      <w:r>
        <w:rPr>
          <w:rFonts w:hint="eastAsia"/>
          <w:sz w:val="36"/>
          <w:szCs w:val="36"/>
        </w:rPr>
        <w:t>项目编号：SSZX2025-303</w:t>
      </w:r>
    </w:p>
    <w:p w14:paraId="22CC9BEB">
      <w:pPr>
        <w:spacing w:beforeLines="100"/>
        <w:ind w:firstLine="1820" w:firstLineChars="650"/>
        <w:rPr>
          <w:rFonts w:eastAsia="黑体"/>
          <w:sz w:val="28"/>
          <w:szCs w:val="28"/>
        </w:rPr>
      </w:pPr>
    </w:p>
    <w:p w14:paraId="6957EF5D">
      <w:pPr>
        <w:spacing w:beforeLines="100"/>
        <w:ind w:firstLine="1820" w:firstLineChars="650"/>
        <w:rPr>
          <w:rFonts w:eastAsia="黑体"/>
          <w:sz w:val="28"/>
          <w:szCs w:val="28"/>
        </w:rPr>
      </w:pPr>
    </w:p>
    <w:p w14:paraId="54FA3D5A">
      <w:pPr>
        <w:spacing w:beforeLines="100"/>
        <w:ind w:firstLine="1820" w:firstLineChars="650"/>
        <w:rPr>
          <w:rFonts w:eastAsia="黑体"/>
          <w:sz w:val="28"/>
          <w:szCs w:val="28"/>
        </w:rPr>
      </w:pPr>
    </w:p>
    <w:p w14:paraId="0FA52A73">
      <w:pPr>
        <w:spacing w:beforeLines="100"/>
        <w:ind w:firstLine="1820" w:firstLineChars="650"/>
        <w:rPr>
          <w:rFonts w:eastAsia="黑体"/>
          <w:sz w:val="28"/>
          <w:szCs w:val="28"/>
        </w:rPr>
      </w:pPr>
    </w:p>
    <w:p w14:paraId="39723DE7">
      <w:pPr>
        <w:spacing w:beforeLines="100"/>
        <w:ind w:firstLine="1820" w:firstLineChars="650"/>
        <w:rPr>
          <w:rFonts w:eastAsia="黑体"/>
          <w:sz w:val="28"/>
          <w:szCs w:val="28"/>
        </w:rPr>
      </w:pPr>
    </w:p>
    <w:p w14:paraId="4E144A74">
      <w:pPr>
        <w:pStyle w:val="67"/>
      </w:pPr>
    </w:p>
    <w:p w14:paraId="2FA92C0D">
      <w:pPr>
        <w:ind w:left="1260" w:leftChars="600"/>
        <w:rPr>
          <w:rFonts w:eastAsia="黑体"/>
          <w:sz w:val="28"/>
          <w:szCs w:val="28"/>
        </w:rPr>
      </w:pPr>
      <w:r>
        <w:rPr>
          <w:rFonts w:hint="eastAsia" w:eastAsia="黑体"/>
          <w:sz w:val="28"/>
          <w:szCs w:val="28"/>
        </w:rPr>
        <w:t>采   购   人：中华人民共和国皇岗海关</w:t>
      </w:r>
    </w:p>
    <w:p w14:paraId="4DC8F5A2">
      <w:pPr>
        <w:ind w:left="1260" w:leftChars="600"/>
        <w:rPr>
          <w:rFonts w:eastAsia="黑体"/>
          <w:sz w:val="28"/>
          <w:szCs w:val="28"/>
        </w:rPr>
      </w:pPr>
      <w:r>
        <w:rPr>
          <w:rFonts w:hint="eastAsia" w:eastAsia="黑体"/>
          <w:sz w:val="28"/>
          <w:szCs w:val="28"/>
        </w:rPr>
        <w:t>采购代理机构：深圳市深水水务咨询有限公司</w:t>
      </w:r>
    </w:p>
    <w:p w14:paraId="57B15827">
      <w:pPr>
        <w:pStyle w:val="67"/>
      </w:pPr>
    </w:p>
    <w:p w14:paraId="75E11CC1">
      <w:pPr>
        <w:spacing w:beforeLines="100" w:afterLines="150" w:line="540" w:lineRule="exact"/>
        <w:jc w:val="center"/>
        <w:rPr>
          <w:rFonts w:ascii="宋体" w:hAnsi="宋体" w:cs="宋体"/>
          <w:b/>
          <w:sz w:val="32"/>
          <w:szCs w:val="32"/>
        </w:rPr>
        <w:sectPr>
          <w:headerReference r:id="rId3" w:type="default"/>
          <w:footerReference r:id="rId4" w:type="default"/>
          <w:pgSz w:w="11906" w:h="16838"/>
          <w:pgMar w:top="1418" w:right="1418" w:bottom="1418" w:left="1418" w:header="851" w:footer="992" w:gutter="0"/>
          <w:pgNumType w:start="1"/>
          <w:cols w:space="720" w:num="1"/>
          <w:docGrid w:type="lines" w:linePitch="312" w:charSpace="0"/>
        </w:sectPr>
      </w:pPr>
      <w:r>
        <w:rPr>
          <w:rFonts w:hint="eastAsia" w:ascii="宋体" w:hAnsi="宋体" w:cs="宋体"/>
          <w:b/>
          <w:sz w:val="32"/>
          <w:szCs w:val="32"/>
        </w:rPr>
        <w:t>二〇二五年九月</w:t>
      </w:r>
    </w:p>
    <w:p w14:paraId="6DFDEA73">
      <w:pPr>
        <w:spacing w:beforeLines="100" w:afterLines="150" w:line="540" w:lineRule="exact"/>
        <w:jc w:val="center"/>
        <w:rPr>
          <w:rFonts w:ascii="宋体" w:hAnsi="宋体" w:cs="宋体"/>
          <w:b/>
          <w:sz w:val="36"/>
          <w:szCs w:val="36"/>
        </w:rPr>
      </w:pPr>
      <w:r>
        <w:rPr>
          <w:rFonts w:hint="eastAsia" w:ascii="宋体" w:hAnsi="宋体" w:cs="宋体"/>
          <w:b/>
          <w:sz w:val="36"/>
          <w:szCs w:val="36"/>
        </w:rPr>
        <w:t>目录</w:t>
      </w:r>
    </w:p>
    <w:p w14:paraId="63E5AB87">
      <w:pPr>
        <w:pStyle w:val="34"/>
        <w:tabs>
          <w:tab w:val="right" w:leader="dot" w:pos="9070"/>
        </w:tabs>
        <w:rPr>
          <w:b/>
          <w:bCs/>
        </w:rPr>
      </w:pPr>
      <w:r>
        <w:rPr>
          <w:rFonts w:ascii="宋体" w:hAnsi="宋体" w:cs="宋体"/>
          <w:kern w:val="0"/>
          <w:sz w:val="28"/>
          <w:szCs w:val="28"/>
          <w:lang w:val="zh-CN"/>
        </w:rPr>
        <w:fldChar w:fldCharType="begin"/>
      </w:r>
      <w:r>
        <w:rPr>
          <w:rFonts w:ascii="宋体" w:hAnsi="宋体" w:cs="宋体"/>
          <w:kern w:val="0"/>
          <w:sz w:val="28"/>
          <w:szCs w:val="28"/>
          <w:lang w:val="zh-CN"/>
        </w:rPr>
        <w:instrText xml:space="preserve"> TOC \o "1-3" \h \z \u </w:instrText>
      </w:r>
      <w:r>
        <w:rPr>
          <w:rFonts w:ascii="宋体" w:hAnsi="宋体" w:cs="宋体"/>
          <w:kern w:val="0"/>
          <w:sz w:val="28"/>
          <w:szCs w:val="28"/>
          <w:lang w:val="zh-CN"/>
        </w:rPr>
        <w:fldChar w:fldCharType="separate"/>
      </w:r>
      <w:r>
        <w:fldChar w:fldCharType="begin"/>
      </w:r>
      <w:r>
        <w:instrText xml:space="preserve"> HYPERLINK \l "_Toc18765" </w:instrText>
      </w:r>
      <w:r>
        <w:fldChar w:fldCharType="separate"/>
      </w:r>
      <w:r>
        <w:rPr>
          <w:rFonts w:hint="eastAsia" w:ascii="宋体" w:hAnsi="宋体" w:cs="宋体"/>
          <w:b/>
          <w:bCs/>
          <w:szCs w:val="28"/>
        </w:rPr>
        <w:t>第一章</w:t>
      </w:r>
      <w:r>
        <w:rPr>
          <w:rFonts w:ascii="宋体" w:hAnsi="宋体" w:cs="宋体"/>
          <w:b/>
          <w:bCs/>
          <w:szCs w:val="28"/>
        </w:rPr>
        <w:t xml:space="preserve"> </w:t>
      </w:r>
      <w:r>
        <w:rPr>
          <w:rFonts w:hint="eastAsia" w:ascii="宋体" w:hAnsi="宋体" w:cs="宋体"/>
          <w:b/>
          <w:bCs/>
          <w:szCs w:val="28"/>
        </w:rPr>
        <w:t>竞争性磋商公告</w:t>
      </w:r>
      <w:r>
        <w:rPr>
          <w:b/>
          <w:bCs/>
        </w:rPr>
        <w:tab/>
      </w:r>
      <w:r>
        <w:rPr>
          <w:b/>
          <w:bCs/>
        </w:rPr>
        <w:fldChar w:fldCharType="begin"/>
      </w:r>
      <w:r>
        <w:rPr>
          <w:b/>
          <w:bCs/>
        </w:rPr>
        <w:instrText xml:space="preserve"> PAGEREF _Toc18765 \h </w:instrText>
      </w:r>
      <w:r>
        <w:rPr>
          <w:b/>
          <w:bCs/>
        </w:rPr>
        <w:fldChar w:fldCharType="separate"/>
      </w:r>
      <w:r>
        <w:rPr>
          <w:b/>
          <w:bCs/>
        </w:rPr>
        <w:t>1</w:t>
      </w:r>
      <w:r>
        <w:rPr>
          <w:b/>
          <w:bCs/>
        </w:rPr>
        <w:fldChar w:fldCharType="end"/>
      </w:r>
      <w:r>
        <w:rPr>
          <w:b/>
          <w:bCs/>
        </w:rPr>
        <w:fldChar w:fldCharType="end"/>
      </w:r>
    </w:p>
    <w:p w14:paraId="7207C2C5">
      <w:pPr>
        <w:pStyle w:val="34"/>
        <w:tabs>
          <w:tab w:val="right" w:leader="dot" w:pos="9070"/>
        </w:tabs>
        <w:rPr>
          <w:b/>
          <w:bCs/>
        </w:rPr>
      </w:pPr>
      <w:r>
        <w:fldChar w:fldCharType="begin"/>
      </w:r>
      <w:r>
        <w:instrText xml:space="preserve"> HYPERLINK \l "_Toc27440" </w:instrText>
      </w:r>
      <w:r>
        <w:fldChar w:fldCharType="separate"/>
      </w:r>
      <w:r>
        <w:rPr>
          <w:rFonts w:hint="eastAsia" w:ascii="宋体" w:hAnsi="宋体" w:cs="宋体"/>
          <w:b/>
          <w:bCs/>
          <w:szCs w:val="28"/>
        </w:rPr>
        <w:t>第二章</w:t>
      </w:r>
      <w:r>
        <w:rPr>
          <w:rFonts w:ascii="宋体" w:hAnsi="宋体" w:cs="宋体"/>
          <w:b/>
          <w:bCs/>
          <w:szCs w:val="28"/>
        </w:rPr>
        <w:t xml:space="preserve"> </w:t>
      </w:r>
      <w:r>
        <w:rPr>
          <w:rFonts w:ascii="宋体" w:hAnsi="宋体" w:cs="宋体"/>
          <w:b/>
          <w:bCs/>
          <w:kern w:val="44"/>
          <w:szCs w:val="28"/>
        </w:rPr>
        <w:t>竞争性磋商</w:t>
      </w:r>
      <w:r>
        <w:rPr>
          <w:rFonts w:hint="eastAsia" w:ascii="宋体" w:hAnsi="宋体" w:cs="宋体"/>
          <w:b/>
          <w:bCs/>
          <w:szCs w:val="28"/>
        </w:rPr>
        <w:t>须知</w:t>
      </w:r>
      <w:r>
        <w:rPr>
          <w:b/>
          <w:bCs/>
        </w:rPr>
        <w:tab/>
      </w:r>
      <w:r>
        <w:rPr>
          <w:b/>
          <w:bCs/>
        </w:rPr>
        <w:fldChar w:fldCharType="begin"/>
      </w:r>
      <w:r>
        <w:rPr>
          <w:b/>
          <w:bCs/>
        </w:rPr>
        <w:instrText xml:space="preserve"> PAGEREF _Toc27440 \h </w:instrText>
      </w:r>
      <w:r>
        <w:rPr>
          <w:b/>
          <w:bCs/>
        </w:rPr>
        <w:fldChar w:fldCharType="separate"/>
      </w:r>
      <w:r>
        <w:rPr>
          <w:b/>
          <w:bCs/>
        </w:rPr>
        <w:t>5</w:t>
      </w:r>
      <w:r>
        <w:rPr>
          <w:b/>
          <w:bCs/>
        </w:rPr>
        <w:fldChar w:fldCharType="end"/>
      </w:r>
      <w:r>
        <w:rPr>
          <w:b/>
          <w:bCs/>
        </w:rPr>
        <w:fldChar w:fldCharType="end"/>
      </w:r>
    </w:p>
    <w:p w14:paraId="5EBEE51D">
      <w:pPr>
        <w:pStyle w:val="41"/>
        <w:tabs>
          <w:tab w:val="right" w:leader="dot" w:pos="9070"/>
        </w:tabs>
        <w:ind w:left="420"/>
      </w:pPr>
      <w:r>
        <w:fldChar w:fldCharType="begin"/>
      </w:r>
      <w:r>
        <w:instrText xml:space="preserve"> HYPERLINK \l "_Toc31236" </w:instrText>
      </w:r>
      <w:r>
        <w:fldChar w:fldCharType="separate"/>
      </w:r>
      <w:r>
        <w:rPr>
          <w:rFonts w:ascii="宋体" w:hAnsi="宋体" w:cs="宋体"/>
          <w:bCs/>
        </w:rPr>
        <w:t>竞争性磋商</w:t>
      </w:r>
      <w:r>
        <w:rPr>
          <w:rFonts w:hint="eastAsia" w:ascii="宋体" w:hAnsi="宋体" w:cs="宋体"/>
          <w:bCs/>
        </w:rPr>
        <w:t>须知前附表</w:t>
      </w:r>
      <w:r>
        <w:tab/>
      </w:r>
      <w:r>
        <w:fldChar w:fldCharType="begin"/>
      </w:r>
      <w:r>
        <w:instrText xml:space="preserve"> PAGEREF _Toc31236 \h </w:instrText>
      </w:r>
      <w:r>
        <w:fldChar w:fldCharType="separate"/>
      </w:r>
      <w:r>
        <w:t>5</w:t>
      </w:r>
      <w:r>
        <w:fldChar w:fldCharType="end"/>
      </w:r>
      <w:r>
        <w:fldChar w:fldCharType="end"/>
      </w:r>
    </w:p>
    <w:p w14:paraId="129FB4E9">
      <w:pPr>
        <w:pStyle w:val="41"/>
        <w:tabs>
          <w:tab w:val="right" w:leader="dot" w:pos="9070"/>
        </w:tabs>
        <w:ind w:left="420"/>
      </w:pPr>
      <w:r>
        <w:fldChar w:fldCharType="begin"/>
      </w:r>
      <w:r>
        <w:instrText xml:space="preserve"> HYPERLINK \l "_Toc21251" </w:instrText>
      </w:r>
      <w:r>
        <w:fldChar w:fldCharType="separate"/>
      </w:r>
      <w:r>
        <w:rPr>
          <w:rFonts w:hint="eastAsia" w:ascii="宋体" w:hAnsi="宋体" w:cs="宋体"/>
          <w:szCs w:val="28"/>
        </w:rPr>
        <w:t>竞争性磋商须知</w:t>
      </w:r>
      <w:r>
        <w:tab/>
      </w:r>
      <w:r>
        <w:fldChar w:fldCharType="begin"/>
      </w:r>
      <w:r>
        <w:instrText xml:space="preserve"> PAGEREF _Toc21251 \h </w:instrText>
      </w:r>
      <w:r>
        <w:fldChar w:fldCharType="separate"/>
      </w:r>
      <w:r>
        <w:t>10</w:t>
      </w:r>
      <w:r>
        <w:fldChar w:fldCharType="end"/>
      </w:r>
      <w:r>
        <w:fldChar w:fldCharType="end"/>
      </w:r>
    </w:p>
    <w:p w14:paraId="3BA00E58">
      <w:pPr>
        <w:pStyle w:val="25"/>
        <w:tabs>
          <w:tab w:val="right" w:leader="dot" w:pos="9070"/>
        </w:tabs>
        <w:ind w:left="840"/>
      </w:pPr>
      <w:r>
        <w:fldChar w:fldCharType="begin"/>
      </w:r>
      <w:r>
        <w:instrText xml:space="preserve"> HYPERLINK \l "_Toc20161" </w:instrText>
      </w:r>
      <w:r>
        <w:fldChar w:fldCharType="separate"/>
      </w:r>
      <w:r>
        <w:rPr>
          <w:rFonts w:ascii="宋体" w:hAnsi="宋体"/>
        </w:rPr>
        <w:t>1.总则</w:t>
      </w:r>
      <w:r>
        <w:tab/>
      </w:r>
      <w:r>
        <w:fldChar w:fldCharType="begin"/>
      </w:r>
      <w:r>
        <w:instrText xml:space="preserve"> PAGEREF _Toc20161 \h </w:instrText>
      </w:r>
      <w:r>
        <w:fldChar w:fldCharType="separate"/>
      </w:r>
      <w:r>
        <w:t>10</w:t>
      </w:r>
      <w:r>
        <w:fldChar w:fldCharType="end"/>
      </w:r>
      <w:r>
        <w:fldChar w:fldCharType="end"/>
      </w:r>
    </w:p>
    <w:p w14:paraId="7B351886">
      <w:pPr>
        <w:pStyle w:val="25"/>
        <w:tabs>
          <w:tab w:val="right" w:leader="dot" w:pos="9070"/>
        </w:tabs>
        <w:ind w:left="840"/>
      </w:pPr>
      <w:r>
        <w:fldChar w:fldCharType="begin"/>
      </w:r>
      <w:r>
        <w:instrText xml:space="preserve"> HYPERLINK \l "_Toc16836" </w:instrText>
      </w:r>
      <w:r>
        <w:fldChar w:fldCharType="separate"/>
      </w:r>
      <w:r>
        <w:rPr>
          <w:rFonts w:ascii="宋体" w:hAnsi="宋体"/>
        </w:rPr>
        <w:t>2.采购文件</w:t>
      </w:r>
      <w:r>
        <w:tab/>
      </w:r>
      <w:r>
        <w:fldChar w:fldCharType="begin"/>
      </w:r>
      <w:r>
        <w:instrText xml:space="preserve"> PAGEREF _Toc16836 \h </w:instrText>
      </w:r>
      <w:r>
        <w:fldChar w:fldCharType="separate"/>
      </w:r>
      <w:r>
        <w:t>11</w:t>
      </w:r>
      <w:r>
        <w:fldChar w:fldCharType="end"/>
      </w:r>
      <w:r>
        <w:fldChar w:fldCharType="end"/>
      </w:r>
    </w:p>
    <w:p w14:paraId="75194ABF">
      <w:pPr>
        <w:pStyle w:val="25"/>
        <w:tabs>
          <w:tab w:val="right" w:leader="dot" w:pos="9070"/>
        </w:tabs>
        <w:ind w:left="840"/>
      </w:pPr>
      <w:r>
        <w:fldChar w:fldCharType="begin"/>
      </w:r>
      <w:r>
        <w:instrText xml:space="preserve"> HYPERLINK \l "_Toc1717" </w:instrText>
      </w:r>
      <w:r>
        <w:fldChar w:fldCharType="separate"/>
      </w:r>
      <w:r>
        <w:t>3.响应文件</w:t>
      </w:r>
      <w:r>
        <w:tab/>
      </w:r>
      <w:r>
        <w:fldChar w:fldCharType="begin"/>
      </w:r>
      <w:r>
        <w:instrText xml:space="preserve"> PAGEREF _Toc1717 \h </w:instrText>
      </w:r>
      <w:r>
        <w:fldChar w:fldCharType="separate"/>
      </w:r>
      <w:r>
        <w:t>12</w:t>
      </w:r>
      <w:r>
        <w:fldChar w:fldCharType="end"/>
      </w:r>
      <w:r>
        <w:fldChar w:fldCharType="end"/>
      </w:r>
    </w:p>
    <w:p w14:paraId="40DAB947">
      <w:pPr>
        <w:pStyle w:val="25"/>
        <w:tabs>
          <w:tab w:val="right" w:leader="dot" w:pos="9070"/>
        </w:tabs>
        <w:ind w:left="840"/>
      </w:pPr>
      <w:r>
        <w:fldChar w:fldCharType="begin"/>
      </w:r>
      <w:r>
        <w:instrText xml:space="preserve"> HYPERLINK \l "_Toc11235" </w:instrText>
      </w:r>
      <w:r>
        <w:fldChar w:fldCharType="separate"/>
      </w:r>
      <w:r>
        <w:rPr>
          <w:rFonts w:ascii="宋体" w:hAnsi="宋体"/>
        </w:rPr>
        <w:t>4.</w:t>
      </w:r>
      <w:r>
        <w:rPr>
          <w:rFonts w:hint="eastAsia" w:ascii="宋体" w:hAnsi="宋体"/>
        </w:rPr>
        <w:t>磋商响应</w:t>
      </w:r>
      <w:r>
        <w:tab/>
      </w:r>
      <w:r>
        <w:fldChar w:fldCharType="begin"/>
      </w:r>
      <w:r>
        <w:instrText xml:space="preserve"> PAGEREF _Toc11235 \h </w:instrText>
      </w:r>
      <w:r>
        <w:fldChar w:fldCharType="separate"/>
      </w:r>
      <w:r>
        <w:t>14</w:t>
      </w:r>
      <w:r>
        <w:fldChar w:fldCharType="end"/>
      </w:r>
      <w:r>
        <w:fldChar w:fldCharType="end"/>
      </w:r>
    </w:p>
    <w:p w14:paraId="4E70590F">
      <w:pPr>
        <w:pStyle w:val="25"/>
        <w:tabs>
          <w:tab w:val="right" w:leader="dot" w:pos="9070"/>
        </w:tabs>
        <w:ind w:left="840"/>
      </w:pPr>
      <w:r>
        <w:fldChar w:fldCharType="begin"/>
      </w:r>
      <w:r>
        <w:instrText xml:space="preserve"> HYPERLINK \l "_Toc13961" </w:instrText>
      </w:r>
      <w:r>
        <w:fldChar w:fldCharType="separate"/>
      </w:r>
      <w:r>
        <w:rPr>
          <w:rFonts w:ascii="宋体" w:hAnsi="宋体"/>
        </w:rPr>
        <w:t>5.</w:t>
      </w:r>
      <w:r>
        <w:rPr>
          <w:rFonts w:hint="eastAsia" w:ascii="宋体" w:hAnsi="宋体"/>
        </w:rPr>
        <w:t>记录响应报价（本项目无需开标）</w:t>
      </w:r>
      <w:r>
        <w:tab/>
      </w:r>
      <w:r>
        <w:fldChar w:fldCharType="begin"/>
      </w:r>
      <w:r>
        <w:instrText xml:space="preserve"> PAGEREF _Toc13961 \h </w:instrText>
      </w:r>
      <w:r>
        <w:fldChar w:fldCharType="separate"/>
      </w:r>
      <w:r>
        <w:t>15</w:t>
      </w:r>
      <w:r>
        <w:fldChar w:fldCharType="end"/>
      </w:r>
      <w:r>
        <w:fldChar w:fldCharType="end"/>
      </w:r>
    </w:p>
    <w:p w14:paraId="236B33A6">
      <w:pPr>
        <w:pStyle w:val="25"/>
        <w:tabs>
          <w:tab w:val="right" w:leader="dot" w:pos="9070"/>
        </w:tabs>
        <w:ind w:left="840"/>
      </w:pPr>
      <w:r>
        <w:fldChar w:fldCharType="begin"/>
      </w:r>
      <w:r>
        <w:instrText xml:space="preserve"> HYPERLINK \l "_Toc25973" </w:instrText>
      </w:r>
      <w:r>
        <w:fldChar w:fldCharType="separate"/>
      </w:r>
      <w:r>
        <w:rPr>
          <w:rFonts w:ascii="宋体" w:hAnsi="宋体"/>
        </w:rPr>
        <w:t>6.</w:t>
      </w:r>
      <w:r>
        <w:rPr>
          <w:rFonts w:hint="eastAsia" w:ascii="宋体" w:hAnsi="宋体"/>
        </w:rPr>
        <w:t>磋商</w:t>
      </w:r>
      <w:r>
        <w:tab/>
      </w:r>
      <w:r>
        <w:fldChar w:fldCharType="begin"/>
      </w:r>
      <w:r>
        <w:instrText xml:space="preserve"> PAGEREF _Toc25973 \h </w:instrText>
      </w:r>
      <w:r>
        <w:fldChar w:fldCharType="separate"/>
      </w:r>
      <w:r>
        <w:t>16</w:t>
      </w:r>
      <w:r>
        <w:fldChar w:fldCharType="end"/>
      </w:r>
      <w:r>
        <w:fldChar w:fldCharType="end"/>
      </w:r>
    </w:p>
    <w:p w14:paraId="516B30E7">
      <w:pPr>
        <w:pStyle w:val="25"/>
        <w:tabs>
          <w:tab w:val="right" w:leader="dot" w:pos="9070"/>
        </w:tabs>
        <w:ind w:left="840"/>
      </w:pPr>
      <w:r>
        <w:fldChar w:fldCharType="begin"/>
      </w:r>
      <w:r>
        <w:instrText xml:space="preserve"> HYPERLINK \l "_Toc29638" </w:instrText>
      </w:r>
      <w:r>
        <w:fldChar w:fldCharType="separate"/>
      </w:r>
      <w:r>
        <w:rPr>
          <w:rFonts w:ascii="宋体" w:hAnsi="宋体"/>
        </w:rPr>
        <w:t>7.合同授予</w:t>
      </w:r>
      <w:r>
        <w:tab/>
      </w:r>
      <w:r>
        <w:fldChar w:fldCharType="begin"/>
      </w:r>
      <w:r>
        <w:instrText xml:space="preserve"> PAGEREF _Toc29638 \h </w:instrText>
      </w:r>
      <w:r>
        <w:fldChar w:fldCharType="separate"/>
      </w:r>
      <w:r>
        <w:t>18</w:t>
      </w:r>
      <w:r>
        <w:fldChar w:fldCharType="end"/>
      </w:r>
      <w:r>
        <w:fldChar w:fldCharType="end"/>
      </w:r>
    </w:p>
    <w:p w14:paraId="432D5F66">
      <w:pPr>
        <w:pStyle w:val="25"/>
        <w:tabs>
          <w:tab w:val="right" w:leader="dot" w:pos="9070"/>
        </w:tabs>
        <w:ind w:left="840"/>
      </w:pPr>
      <w:r>
        <w:fldChar w:fldCharType="begin"/>
      </w:r>
      <w:r>
        <w:instrText xml:space="preserve"> HYPERLINK \l "_Toc8325" </w:instrText>
      </w:r>
      <w:r>
        <w:fldChar w:fldCharType="separate"/>
      </w:r>
      <w:r>
        <w:rPr>
          <w:rFonts w:ascii="宋体" w:hAnsi="宋体" w:cs="宋体"/>
        </w:rPr>
        <w:t>8.重新</w:t>
      </w:r>
      <w:r>
        <w:rPr>
          <w:rFonts w:hint="eastAsia" w:ascii="宋体" w:hAnsi="宋体" w:cs="宋体"/>
        </w:rPr>
        <w:t>采购</w:t>
      </w:r>
      <w:r>
        <w:tab/>
      </w:r>
      <w:r>
        <w:fldChar w:fldCharType="begin"/>
      </w:r>
      <w:r>
        <w:instrText xml:space="preserve"> PAGEREF _Toc8325 \h </w:instrText>
      </w:r>
      <w:r>
        <w:fldChar w:fldCharType="separate"/>
      </w:r>
      <w:r>
        <w:t>19</w:t>
      </w:r>
      <w:r>
        <w:fldChar w:fldCharType="end"/>
      </w:r>
      <w:r>
        <w:fldChar w:fldCharType="end"/>
      </w:r>
    </w:p>
    <w:p w14:paraId="6D8D94C6">
      <w:pPr>
        <w:pStyle w:val="25"/>
        <w:tabs>
          <w:tab w:val="right" w:leader="dot" w:pos="9070"/>
        </w:tabs>
        <w:ind w:left="840"/>
      </w:pPr>
      <w:r>
        <w:fldChar w:fldCharType="begin"/>
      </w:r>
      <w:r>
        <w:instrText xml:space="preserve"> HYPERLINK \l "_Toc22633" </w:instrText>
      </w:r>
      <w:r>
        <w:fldChar w:fldCharType="separate"/>
      </w:r>
      <w:r>
        <w:rPr>
          <w:rFonts w:ascii="宋体" w:hAnsi="宋体" w:cs="宋体"/>
        </w:rPr>
        <w:t>9.纪律和监督</w:t>
      </w:r>
      <w:r>
        <w:tab/>
      </w:r>
      <w:r>
        <w:fldChar w:fldCharType="begin"/>
      </w:r>
      <w:r>
        <w:instrText xml:space="preserve"> PAGEREF _Toc22633 \h </w:instrText>
      </w:r>
      <w:r>
        <w:fldChar w:fldCharType="separate"/>
      </w:r>
      <w:r>
        <w:t>19</w:t>
      </w:r>
      <w:r>
        <w:fldChar w:fldCharType="end"/>
      </w:r>
      <w:r>
        <w:fldChar w:fldCharType="end"/>
      </w:r>
    </w:p>
    <w:p w14:paraId="325110C4">
      <w:pPr>
        <w:pStyle w:val="25"/>
        <w:tabs>
          <w:tab w:val="right" w:leader="dot" w:pos="9070"/>
        </w:tabs>
        <w:ind w:left="840"/>
      </w:pPr>
      <w:r>
        <w:fldChar w:fldCharType="begin"/>
      </w:r>
      <w:r>
        <w:instrText xml:space="preserve"> HYPERLINK \l "_Toc26312" </w:instrText>
      </w:r>
      <w:r>
        <w:fldChar w:fldCharType="separate"/>
      </w:r>
      <w:r>
        <w:t>10.需要补充的其他内容</w:t>
      </w:r>
      <w:r>
        <w:tab/>
      </w:r>
      <w:r>
        <w:fldChar w:fldCharType="begin"/>
      </w:r>
      <w:r>
        <w:instrText xml:space="preserve"> PAGEREF _Toc26312 \h </w:instrText>
      </w:r>
      <w:r>
        <w:fldChar w:fldCharType="separate"/>
      </w:r>
      <w:r>
        <w:t>20</w:t>
      </w:r>
      <w:r>
        <w:fldChar w:fldCharType="end"/>
      </w:r>
      <w:r>
        <w:fldChar w:fldCharType="end"/>
      </w:r>
    </w:p>
    <w:p w14:paraId="42E625F9">
      <w:pPr>
        <w:pStyle w:val="25"/>
        <w:tabs>
          <w:tab w:val="right" w:leader="dot" w:pos="9070"/>
        </w:tabs>
        <w:ind w:left="840"/>
      </w:pPr>
      <w:r>
        <w:fldChar w:fldCharType="begin"/>
      </w:r>
      <w:r>
        <w:instrText xml:space="preserve"> HYPERLINK \l "_Toc2103" </w:instrText>
      </w:r>
      <w:r>
        <w:fldChar w:fldCharType="separate"/>
      </w:r>
      <w:r>
        <w:rPr>
          <w:rFonts w:ascii="宋体" w:hAnsi="宋体"/>
        </w:rPr>
        <w:t>11.本采购文件解释权</w:t>
      </w:r>
      <w:r>
        <w:tab/>
      </w:r>
      <w:r>
        <w:fldChar w:fldCharType="begin"/>
      </w:r>
      <w:r>
        <w:instrText xml:space="preserve"> PAGEREF _Toc2103 \h </w:instrText>
      </w:r>
      <w:r>
        <w:fldChar w:fldCharType="separate"/>
      </w:r>
      <w:r>
        <w:t>20</w:t>
      </w:r>
      <w:r>
        <w:fldChar w:fldCharType="end"/>
      </w:r>
      <w:r>
        <w:fldChar w:fldCharType="end"/>
      </w:r>
    </w:p>
    <w:p w14:paraId="26B551F1">
      <w:pPr>
        <w:pStyle w:val="34"/>
        <w:tabs>
          <w:tab w:val="right" w:leader="dot" w:pos="9070"/>
        </w:tabs>
        <w:rPr>
          <w:b/>
          <w:bCs/>
        </w:rPr>
      </w:pPr>
      <w:r>
        <w:fldChar w:fldCharType="begin"/>
      </w:r>
      <w:r>
        <w:instrText xml:space="preserve"> HYPERLINK \l "_Toc12852" </w:instrText>
      </w:r>
      <w:r>
        <w:fldChar w:fldCharType="separate"/>
      </w:r>
      <w:r>
        <w:rPr>
          <w:rFonts w:hint="eastAsia" w:ascii="宋体" w:hAnsi="宋体" w:cs="宋体"/>
          <w:b/>
          <w:bCs/>
          <w:szCs w:val="28"/>
        </w:rPr>
        <w:t>第三章</w:t>
      </w:r>
      <w:r>
        <w:rPr>
          <w:rFonts w:ascii="宋体" w:hAnsi="宋体" w:cs="宋体"/>
          <w:b/>
          <w:bCs/>
          <w:szCs w:val="28"/>
        </w:rPr>
        <w:t xml:space="preserve"> </w:t>
      </w:r>
      <w:r>
        <w:rPr>
          <w:rFonts w:hint="eastAsia" w:ascii="宋体" w:hAnsi="宋体" w:cs="宋体"/>
          <w:b/>
          <w:bCs/>
          <w:szCs w:val="28"/>
        </w:rPr>
        <w:t>评标办法（综合评分法）</w:t>
      </w:r>
      <w:r>
        <w:rPr>
          <w:b/>
          <w:bCs/>
        </w:rPr>
        <w:tab/>
      </w:r>
      <w:r>
        <w:rPr>
          <w:b/>
          <w:bCs/>
        </w:rPr>
        <w:fldChar w:fldCharType="begin"/>
      </w:r>
      <w:r>
        <w:rPr>
          <w:b/>
          <w:bCs/>
        </w:rPr>
        <w:instrText xml:space="preserve"> PAGEREF _Toc12852 \h </w:instrText>
      </w:r>
      <w:r>
        <w:rPr>
          <w:b/>
          <w:bCs/>
        </w:rPr>
        <w:fldChar w:fldCharType="separate"/>
      </w:r>
      <w:r>
        <w:rPr>
          <w:b/>
          <w:bCs/>
        </w:rPr>
        <w:t>21</w:t>
      </w:r>
      <w:r>
        <w:rPr>
          <w:b/>
          <w:bCs/>
        </w:rPr>
        <w:fldChar w:fldCharType="end"/>
      </w:r>
      <w:r>
        <w:rPr>
          <w:b/>
          <w:bCs/>
        </w:rPr>
        <w:fldChar w:fldCharType="end"/>
      </w:r>
    </w:p>
    <w:p w14:paraId="3E77D629">
      <w:pPr>
        <w:pStyle w:val="41"/>
        <w:tabs>
          <w:tab w:val="right" w:leader="dot" w:pos="9070"/>
        </w:tabs>
        <w:ind w:left="420"/>
      </w:pPr>
      <w:r>
        <w:fldChar w:fldCharType="begin"/>
      </w:r>
      <w:r>
        <w:instrText xml:space="preserve"> HYPERLINK \l "_Toc28045" </w:instrText>
      </w:r>
      <w:r>
        <w:fldChar w:fldCharType="separate"/>
      </w:r>
      <w:r>
        <w:rPr>
          <w:rFonts w:hint="eastAsia" w:ascii="宋体" w:hAnsi="宋体" w:cs="宋体"/>
        </w:rPr>
        <w:t>资格、符合性评审条款</w:t>
      </w:r>
      <w:r>
        <w:tab/>
      </w:r>
      <w:r>
        <w:fldChar w:fldCharType="begin"/>
      </w:r>
      <w:r>
        <w:instrText xml:space="preserve"> PAGEREF _Toc28045 \h </w:instrText>
      </w:r>
      <w:r>
        <w:fldChar w:fldCharType="separate"/>
      </w:r>
      <w:r>
        <w:t>21</w:t>
      </w:r>
      <w:r>
        <w:fldChar w:fldCharType="end"/>
      </w:r>
      <w:r>
        <w:fldChar w:fldCharType="end"/>
      </w:r>
    </w:p>
    <w:p w14:paraId="54F3D67D">
      <w:pPr>
        <w:pStyle w:val="41"/>
        <w:tabs>
          <w:tab w:val="right" w:leader="dot" w:pos="9070"/>
        </w:tabs>
        <w:ind w:left="420"/>
      </w:pPr>
      <w:r>
        <w:fldChar w:fldCharType="begin"/>
      </w:r>
      <w:r>
        <w:instrText xml:space="preserve"> HYPERLINK \l "_Toc8968" </w:instrText>
      </w:r>
      <w:r>
        <w:fldChar w:fldCharType="separate"/>
      </w:r>
      <w:r>
        <w:rPr>
          <w:rFonts w:hint="eastAsia" w:ascii="宋体" w:hAnsi="宋体" w:cs="宋体"/>
        </w:rPr>
        <w:t>综合评审打分表</w:t>
      </w:r>
      <w:r>
        <w:tab/>
      </w:r>
      <w:r>
        <w:fldChar w:fldCharType="begin"/>
      </w:r>
      <w:r>
        <w:instrText xml:space="preserve"> PAGEREF _Toc8968 \h </w:instrText>
      </w:r>
      <w:r>
        <w:fldChar w:fldCharType="separate"/>
      </w:r>
      <w:r>
        <w:t>22</w:t>
      </w:r>
      <w:r>
        <w:fldChar w:fldCharType="end"/>
      </w:r>
      <w:r>
        <w:fldChar w:fldCharType="end"/>
      </w:r>
    </w:p>
    <w:p w14:paraId="7FDE9BB0">
      <w:pPr>
        <w:pStyle w:val="25"/>
        <w:tabs>
          <w:tab w:val="right" w:leader="dot" w:pos="9070"/>
        </w:tabs>
        <w:ind w:left="840"/>
      </w:pPr>
      <w:r>
        <w:fldChar w:fldCharType="begin"/>
      </w:r>
      <w:r>
        <w:instrText xml:space="preserve"> HYPERLINK \l "_Toc20918" </w:instrText>
      </w:r>
      <w:r>
        <w:fldChar w:fldCharType="separate"/>
      </w:r>
      <w:r>
        <w:rPr>
          <w:rFonts w:hint="eastAsia" w:ascii="宋体" w:hAnsi="宋体" w:cs="宋体"/>
          <w:bCs/>
        </w:rPr>
        <w:t>评审说明</w:t>
      </w:r>
      <w:r>
        <w:tab/>
      </w:r>
      <w:r>
        <w:fldChar w:fldCharType="begin"/>
      </w:r>
      <w:r>
        <w:instrText xml:space="preserve"> PAGEREF _Toc20918 \h </w:instrText>
      </w:r>
      <w:r>
        <w:fldChar w:fldCharType="separate"/>
      </w:r>
      <w:r>
        <w:t>25</w:t>
      </w:r>
      <w:r>
        <w:fldChar w:fldCharType="end"/>
      </w:r>
      <w:r>
        <w:fldChar w:fldCharType="end"/>
      </w:r>
    </w:p>
    <w:p w14:paraId="3D82DDB7">
      <w:pPr>
        <w:pStyle w:val="25"/>
        <w:tabs>
          <w:tab w:val="right" w:leader="dot" w:pos="9070"/>
        </w:tabs>
        <w:ind w:left="840"/>
      </w:pPr>
      <w:r>
        <w:fldChar w:fldCharType="begin"/>
      </w:r>
      <w:r>
        <w:instrText xml:space="preserve"> HYPERLINK \l "_Toc1854" </w:instrText>
      </w:r>
      <w:r>
        <w:fldChar w:fldCharType="separate"/>
      </w:r>
      <w:r>
        <w:rPr>
          <w:rFonts w:ascii="宋体" w:hAnsi="宋体" w:cs="宋体"/>
          <w:bCs/>
        </w:rPr>
        <w:t>1.评标方法</w:t>
      </w:r>
      <w:r>
        <w:tab/>
      </w:r>
      <w:r>
        <w:fldChar w:fldCharType="begin"/>
      </w:r>
      <w:r>
        <w:instrText xml:space="preserve"> PAGEREF _Toc1854 \h </w:instrText>
      </w:r>
      <w:r>
        <w:fldChar w:fldCharType="separate"/>
      </w:r>
      <w:r>
        <w:t>25</w:t>
      </w:r>
      <w:r>
        <w:fldChar w:fldCharType="end"/>
      </w:r>
      <w:r>
        <w:fldChar w:fldCharType="end"/>
      </w:r>
    </w:p>
    <w:p w14:paraId="0987A3F4">
      <w:pPr>
        <w:pStyle w:val="25"/>
        <w:tabs>
          <w:tab w:val="right" w:leader="dot" w:pos="9070"/>
        </w:tabs>
        <w:ind w:left="840"/>
      </w:pPr>
      <w:r>
        <w:fldChar w:fldCharType="begin"/>
      </w:r>
      <w:r>
        <w:instrText xml:space="preserve"> HYPERLINK \l "_Toc21789" </w:instrText>
      </w:r>
      <w:r>
        <w:fldChar w:fldCharType="separate"/>
      </w:r>
      <w:r>
        <w:rPr>
          <w:rFonts w:ascii="宋体" w:hAnsi="宋体" w:cs="宋体"/>
          <w:bCs/>
        </w:rPr>
        <w:t>2.</w:t>
      </w:r>
      <w:r>
        <w:rPr>
          <w:rFonts w:hint="eastAsia" w:ascii="宋体" w:hAnsi="宋体" w:cs="宋体"/>
          <w:bCs/>
        </w:rPr>
        <w:t>评标优惠政策</w:t>
      </w:r>
      <w:r>
        <w:tab/>
      </w:r>
      <w:r>
        <w:fldChar w:fldCharType="begin"/>
      </w:r>
      <w:r>
        <w:instrText xml:space="preserve"> PAGEREF _Toc21789 \h </w:instrText>
      </w:r>
      <w:r>
        <w:fldChar w:fldCharType="separate"/>
      </w:r>
      <w:r>
        <w:t>26</w:t>
      </w:r>
      <w:r>
        <w:fldChar w:fldCharType="end"/>
      </w:r>
      <w:r>
        <w:fldChar w:fldCharType="end"/>
      </w:r>
    </w:p>
    <w:p w14:paraId="2213DABB">
      <w:pPr>
        <w:pStyle w:val="25"/>
        <w:tabs>
          <w:tab w:val="right" w:leader="dot" w:pos="9070"/>
        </w:tabs>
        <w:ind w:left="840"/>
      </w:pPr>
      <w:r>
        <w:fldChar w:fldCharType="begin"/>
      </w:r>
      <w:r>
        <w:instrText xml:space="preserve"> HYPERLINK \l "_Toc18060" </w:instrText>
      </w:r>
      <w:r>
        <w:fldChar w:fldCharType="separate"/>
      </w:r>
      <w:r>
        <w:rPr>
          <w:rFonts w:ascii="宋体" w:hAnsi="宋体" w:cs="宋体"/>
        </w:rPr>
        <w:t>3.评标原则</w:t>
      </w:r>
      <w:r>
        <w:tab/>
      </w:r>
      <w:r>
        <w:fldChar w:fldCharType="begin"/>
      </w:r>
      <w:r>
        <w:instrText xml:space="preserve"> PAGEREF _Toc18060 \h </w:instrText>
      </w:r>
      <w:r>
        <w:fldChar w:fldCharType="separate"/>
      </w:r>
      <w:r>
        <w:t>26</w:t>
      </w:r>
      <w:r>
        <w:fldChar w:fldCharType="end"/>
      </w:r>
      <w:r>
        <w:fldChar w:fldCharType="end"/>
      </w:r>
    </w:p>
    <w:p w14:paraId="45D363BD">
      <w:pPr>
        <w:pStyle w:val="25"/>
        <w:tabs>
          <w:tab w:val="right" w:leader="dot" w:pos="9070"/>
        </w:tabs>
        <w:ind w:left="840"/>
      </w:pPr>
      <w:r>
        <w:fldChar w:fldCharType="begin"/>
      </w:r>
      <w:r>
        <w:instrText xml:space="preserve"> HYPERLINK \l "_Toc11723" </w:instrText>
      </w:r>
      <w:r>
        <w:fldChar w:fldCharType="separate"/>
      </w:r>
      <w:r>
        <w:rPr>
          <w:rFonts w:ascii="宋体" w:hAnsi="宋体" w:cs="宋体"/>
        </w:rPr>
        <w:t>4.磋商小组组成及职责</w:t>
      </w:r>
      <w:r>
        <w:tab/>
      </w:r>
      <w:r>
        <w:fldChar w:fldCharType="begin"/>
      </w:r>
      <w:r>
        <w:instrText xml:space="preserve"> PAGEREF _Toc11723 \h </w:instrText>
      </w:r>
      <w:r>
        <w:fldChar w:fldCharType="separate"/>
      </w:r>
      <w:r>
        <w:t>26</w:t>
      </w:r>
      <w:r>
        <w:fldChar w:fldCharType="end"/>
      </w:r>
      <w:r>
        <w:fldChar w:fldCharType="end"/>
      </w:r>
    </w:p>
    <w:p w14:paraId="6528272E">
      <w:pPr>
        <w:pStyle w:val="25"/>
        <w:tabs>
          <w:tab w:val="right" w:leader="dot" w:pos="9070"/>
        </w:tabs>
        <w:ind w:left="840"/>
      </w:pPr>
      <w:r>
        <w:fldChar w:fldCharType="begin"/>
      </w:r>
      <w:r>
        <w:instrText xml:space="preserve"> HYPERLINK \l "_Toc8022" </w:instrText>
      </w:r>
      <w:r>
        <w:fldChar w:fldCharType="separate"/>
      </w:r>
      <w:r>
        <w:rPr>
          <w:rFonts w:ascii="宋体" w:hAnsi="宋体" w:cs="宋体"/>
        </w:rPr>
        <w:t>5.评标程序</w:t>
      </w:r>
      <w:r>
        <w:tab/>
      </w:r>
      <w:r>
        <w:fldChar w:fldCharType="begin"/>
      </w:r>
      <w:r>
        <w:instrText xml:space="preserve"> PAGEREF _Toc8022 \h </w:instrText>
      </w:r>
      <w:r>
        <w:fldChar w:fldCharType="separate"/>
      </w:r>
      <w:r>
        <w:t>27</w:t>
      </w:r>
      <w:r>
        <w:fldChar w:fldCharType="end"/>
      </w:r>
      <w:r>
        <w:fldChar w:fldCharType="end"/>
      </w:r>
    </w:p>
    <w:p w14:paraId="7D6F9EA0">
      <w:pPr>
        <w:pStyle w:val="25"/>
        <w:tabs>
          <w:tab w:val="right" w:leader="dot" w:pos="9070"/>
        </w:tabs>
        <w:ind w:left="840"/>
      </w:pPr>
      <w:r>
        <w:fldChar w:fldCharType="begin"/>
      </w:r>
      <w:r>
        <w:instrText xml:space="preserve"> HYPERLINK \l "_Toc1809" </w:instrText>
      </w:r>
      <w:r>
        <w:fldChar w:fldCharType="separate"/>
      </w:r>
      <w:r>
        <w:rPr>
          <w:rFonts w:ascii="宋体" w:hAnsi="宋体" w:cs="宋体"/>
        </w:rPr>
        <w:t>6.评审内容</w:t>
      </w:r>
      <w:r>
        <w:tab/>
      </w:r>
      <w:r>
        <w:fldChar w:fldCharType="begin"/>
      </w:r>
      <w:r>
        <w:instrText xml:space="preserve"> PAGEREF _Toc1809 \h </w:instrText>
      </w:r>
      <w:r>
        <w:fldChar w:fldCharType="separate"/>
      </w:r>
      <w:r>
        <w:t>27</w:t>
      </w:r>
      <w:r>
        <w:fldChar w:fldCharType="end"/>
      </w:r>
      <w:r>
        <w:fldChar w:fldCharType="end"/>
      </w:r>
    </w:p>
    <w:p w14:paraId="5B0B6573">
      <w:pPr>
        <w:pStyle w:val="25"/>
        <w:tabs>
          <w:tab w:val="right" w:leader="dot" w:pos="9070"/>
        </w:tabs>
        <w:ind w:left="840"/>
      </w:pPr>
      <w:r>
        <w:fldChar w:fldCharType="begin"/>
      </w:r>
      <w:r>
        <w:instrText xml:space="preserve"> HYPERLINK \l "_Toc17469" </w:instrText>
      </w:r>
      <w:r>
        <w:fldChar w:fldCharType="separate"/>
      </w:r>
      <w:r>
        <w:rPr>
          <w:rFonts w:ascii="宋体" w:hAnsi="宋体" w:cs="宋体"/>
        </w:rPr>
        <w:t>7.适用范围</w:t>
      </w:r>
      <w:r>
        <w:tab/>
      </w:r>
      <w:r>
        <w:fldChar w:fldCharType="begin"/>
      </w:r>
      <w:r>
        <w:instrText xml:space="preserve"> PAGEREF _Toc17469 \h </w:instrText>
      </w:r>
      <w:r>
        <w:fldChar w:fldCharType="separate"/>
      </w:r>
      <w:r>
        <w:t>28</w:t>
      </w:r>
      <w:r>
        <w:fldChar w:fldCharType="end"/>
      </w:r>
      <w:r>
        <w:fldChar w:fldCharType="end"/>
      </w:r>
    </w:p>
    <w:p w14:paraId="0EEA292D">
      <w:pPr>
        <w:pStyle w:val="34"/>
        <w:tabs>
          <w:tab w:val="right" w:leader="dot" w:pos="9070"/>
        </w:tabs>
        <w:rPr>
          <w:b/>
          <w:bCs/>
        </w:rPr>
      </w:pPr>
      <w:r>
        <w:fldChar w:fldCharType="begin"/>
      </w:r>
      <w:r>
        <w:instrText xml:space="preserve"> HYPERLINK \l "_Toc29523" </w:instrText>
      </w:r>
      <w:r>
        <w:fldChar w:fldCharType="separate"/>
      </w:r>
      <w:r>
        <w:rPr>
          <w:rFonts w:hint="eastAsia" w:ascii="宋体" w:hAnsi="宋体" w:cs="宋体"/>
          <w:b/>
          <w:bCs/>
          <w:szCs w:val="28"/>
        </w:rPr>
        <w:t>第四章</w:t>
      </w:r>
      <w:r>
        <w:rPr>
          <w:rFonts w:ascii="宋体" w:hAnsi="宋体" w:cs="宋体"/>
          <w:b/>
          <w:bCs/>
          <w:szCs w:val="28"/>
        </w:rPr>
        <w:t xml:space="preserve"> </w:t>
      </w:r>
      <w:r>
        <w:rPr>
          <w:rFonts w:hint="eastAsia" w:ascii="宋体" w:hAnsi="宋体" w:cs="宋体"/>
          <w:b/>
          <w:bCs/>
          <w:szCs w:val="28"/>
        </w:rPr>
        <w:t>项目需求书</w:t>
      </w:r>
      <w:r>
        <w:rPr>
          <w:b/>
          <w:bCs/>
        </w:rPr>
        <w:tab/>
      </w:r>
      <w:r>
        <w:rPr>
          <w:b/>
          <w:bCs/>
        </w:rPr>
        <w:fldChar w:fldCharType="begin"/>
      </w:r>
      <w:r>
        <w:rPr>
          <w:b/>
          <w:bCs/>
        </w:rPr>
        <w:instrText xml:space="preserve"> PAGEREF _Toc29523 \h </w:instrText>
      </w:r>
      <w:r>
        <w:rPr>
          <w:b/>
          <w:bCs/>
        </w:rPr>
        <w:fldChar w:fldCharType="separate"/>
      </w:r>
      <w:r>
        <w:rPr>
          <w:b/>
          <w:bCs/>
        </w:rPr>
        <w:t>29</w:t>
      </w:r>
      <w:r>
        <w:rPr>
          <w:b/>
          <w:bCs/>
        </w:rPr>
        <w:fldChar w:fldCharType="end"/>
      </w:r>
      <w:r>
        <w:rPr>
          <w:b/>
          <w:bCs/>
        </w:rPr>
        <w:fldChar w:fldCharType="end"/>
      </w:r>
    </w:p>
    <w:p w14:paraId="03DCE8F5">
      <w:pPr>
        <w:pStyle w:val="25"/>
        <w:tabs>
          <w:tab w:val="right" w:leader="dot" w:pos="9070"/>
        </w:tabs>
        <w:ind w:left="840"/>
      </w:pPr>
      <w:r>
        <w:fldChar w:fldCharType="begin"/>
      </w:r>
      <w:r>
        <w:instrText xml:space="preserve"> HYPERLINK \l "_Toc10039" </w:instrText>
      </w:r>
      <w:r>
        <w:fldChar w:fldCharType="separate"/>
      </w:r>
      <w:r>
        <w:rPr>
          <w:rFonts w:hint="eastAsia"/>
        </w:rPr>
        <w:t>一、 工程项目一览表</w:t>
      </w:r>
      <w:r>
        <w:tab/>
      </w:r>
      <w:r>
        <w:fldChar w:fldCharType="begin"/>
      </w:r>
      <w:r>
        <w:instrText xml:space="preserve"> PAGEREF _Toc10039 \h </w:instrText>
      </w:r>
      <w:r>
        <w:fldChar w:fldCharType="separate"/>
      </w:r>
      <w:r>
        <w:t>29</w:t>
      </w:r>
      <w:r>
        <w:fldChar w:fldCharType="end"/>
      </w:r>
      <w:r>
        <w:fldChar w:fldCharType="end"/>
      </w:r>
    </w:p>
    <w:p w14:paraId="2783248B">
      <w:pPr>
        <w:pStyle w:val="25"/>
        <w:tabs>
          <w:tab w:val="right" w:leader="dot" w:pos="9070"/>
        </w:tabs>
        <w:ind w:left="840"/>
      </w:pPr>
      <w:r>
        <w:fldChar w:fldCharType="begin"/>
      </w:r>
      <w:r>
        <w:instrText xml:space="preserve"> HYPERLINK \l "_Toc10567" </w:instrText>
      </w:r>
      <w:r>
        <w:fldChar w:fldCharType="separate"/>
      </w:r>
      <w:r>
        <w:rPr>
          <w:rFonts w:hint="eastAsia"/>
        </w:rPr>
        <w:t>二、 实质性响应条款</w:t>
      </w:r>
      <w:r>
        <w:tab/>
      </w:r>
      <w:r>
        <w:fldChar w:fldCharType="begin"/>
      </w:r>
      <w:r>
        <w:instrText xml:space="preserve"> PAGEREF _Toc10567 \h </w:instrText>
      </w:r>
      <w:r>
        <w:fldChar w:fldCharType="separate"/>
      </w:r>
      <w:r>
        <w:t>29</w:t>
      </w:r>
      <w:r>
        <w:fldChar w:fldCharType="end"/>
      </w:r>
      <w:r>
        <w:fldChar w:fldCharType="end"/>
      </w:r>
    </w:p>
    <w:p w14:paraId="3A875269">
      <w:pPr>
        <w:pStyle w:val="25"/>
        <w:tabs>
          <w:tab w:val="right" w:leader="dot" w:pos="9070"/>
        </w:tabs>
        <w:ind w:left="840"/>
      </w:pPr>
      <w:r>
        <w:fldChar w:fldCharType="begin"/>
      </w:r>
      <w:r>
        <w:instrText xml:space="preserve"> HYPERLINK \l "_Toc26194" </w:instrText>
      </w:r>
      <w:r>
        <w:fldChar w:fldCharType="separate"/>
      </w:r>
      <w:r>
        <w:rPr>
          <w:rFonts w:hint="eastAsia"/>
        </w:rPr>
        <w:t>三、 项目概况</w:t>
      </w:r>
      <w:r>
        <w:tab/>
      </w:r>
      <w:r>
        <w:fldChar w:fldCharType="begin"/>
      </w:r>
      <w:r>
        <w:instrText xml:space="preserve"> PAGEREF _Toc26194 \h </w:instrText>
      </w:r>
      <w:r>
        <w:fldChar w:fldCharType="separate"/>
      </w:r>
      <w:r>
        <w:t>29</w:t>
      </w:r>
      <w:r>
        <w:fldChar w:fldCharType="end"/>
      </w:r>
      <w:r>
        <w:fldChar w:fldCharType="end"/>
      </w:r>
    </w:p>
    <w:p w14:paraId="58E88507">
      <w:pPr>
        <w:pStyle w:val="25"/>
        <w:tabs>
          <w:tab w:val="right" w:leader="dot" w:pos="9070"/>
        </w:tabs>
        <w:ind w:left="840"/>
      </w:pPr>
      <w:r>
        <w:fldChar w:fldCharType="begin"/>
      </w:r>
      <w:r>
        <w:instrText xml:space="preserve"> HYPERLINK \l "_Toc20527" </w:instrText>
      </w:r>
      <w:r>
        <w:fldChar w:fldCharType="separate"/>
      </w:r>
      <w:r>
        <w:rPr>
          <w:rFonts w:hint="eastAsia"/>
        </w:rPr>
        <w:t>四、 具体技术要求</w:t>
      </w:r>
      <w:r>
        <w:tab/>
      </w:r>
      <w:r>
        <w:fldChar w:fldCharType="begin"/>
      </w:r>
      <w:r>
        <w:instrText xml:space="preserve"> PAGEREF _Toc20527 \h </w:instrText>
      </w:r>
      <w:r>
        <w:fldChar w:fldCharType="separate"/>
      </w:r>
      <w:r>
        <w:t>29</w:t>
      </w:r>
      <w:r>
        <w:fldChar w:fldCharType="end"/>
      </w:r>
      <w:r>
        <w:fldChar w:fldCharType="end"/>
      </w:r>
    </w:p>
    <w:p w14:paraId="5E953A65">
      <w:pPr>
        <w:pStyle w:val="25"/>
        <w:tabs>
          <w:tab w:val="right" w:leader="dot" w:pos="9070"/>
        </w:tabs>
        <w:ind w:left="840"/>
      </w:pPr>
      <w:r>
        <w:fldChar w:fldCharType="begin"/>
      </w:r>
      <w:r>
        <w:instrText xml:space="preserve"> HYPERLINK \l "_Toc12170" </w:instrText>
      </w:r>
      <w:r>
        <w:fldChar w:fldCharType="separate"/>
      </w:r>
      <w:r>
        <w:rPr>
          <w:rFonts w:hint="eastAsia"/>
        </w:rPr>
        <w:t>五、 商务需求</w:t>
      </w:r>
      <w:r>
        <w:tab/>
      </w:r>
      <w:r>
        <w:fldChar w:fldCharType="begin"/>
      </w:r>
      <w:r>
        <w:instrText xml:space="preserve"> PAGEREF _Toc12170 \h </w:instrText>
      </w:r>
      <w:r>
        <w:fldChar w:fldCharType="separate"/>
      </w:r>
      <w:r>
        <w:t>30</w:t>
      </w:r>
      <w:r>
        <w:fldChar w:fldCharType="end"/>
      </w:r>
      <w:r>
        <w:fldChar w:fldCharType="end"/>
      </w:r>
    </w:p>
    <w:p w14:paraId="54EF25F9">
      <w:pPr>
        <w:pStyle w:val="25"/>
        <w:tabs>
          <w:tab w:val="right" w:leader="dot" w:pos="9070"/>
        </w:tabs>
        <w:ind w:left="840"/>
      </w:pPr>
      <w:r>
        <w:fldChar w:fldCharType="begin"/>
      </w:r>
      <w:r>
        <w:instrText xml:space="preserve"> HYPERLINK \l "_Toc31442" </w:instrText>
      </w:r>
      <w:r>
        <w:fldChar w:fldCharType="separate"/>
      </w:r>
      <w:r>
        <w:rPr>
          <w:rFonts w:hint="eastAsia"/>
        </w:rPr>
        <w:t>六、 定价方式、合同类型和风险管理措施</w:t>
      </w:r>
      <w:r>
        <w:tab/>
      </w:r>
      <w:r>
        <w:fldChar w:fldCharType="begin"/>
      </w:r>
      <w:r>
        <w:instrText xml:space="preserve"> PAGEREF _Toc31442 \h </w:instrText>
      </w:r>
      <w:r>
        <w:fldChar w:fldCharType="separate"/>
      </w:r>
      <w:r>
        <w:t>31</w:t>
      </w:r>
      <w:r>
        <w:fldChar w:fldCharType="end"/>
      </w:r>
      <w:r>
        <w:fldChar w:fldCharType="end"/>
      </w:r>
    </w:p>
    <w:p w14:paraId="7189AFA1">
      <w:pPr>
        <w:pStyle w:val="34"/>
        <w:tabs>
          <w:tab w:val="right" w:leader="dot" w:pos="9070"/>
        </w:tabs>
        <w:rPr>
          <w:b/>
          <w:bCs/>
        </w:rPr>
      </w:pPr>
      <w:r>
        <w:fldChar w:fldCharType="begin"/>
      </w:r>
      <w:r>
        <w:instrText xml:space="preserve"> HYPERLINK \l "_Toc23646" </w:instrText>
      </w:r>
      <w:r>
        <w:fldChar w:fldCharType="separate"/>
      </w:r>
      <w:r>
        <w:rPr>
          <w:rFonts w:hint="eastAsia" w:ascii="宋体" w:hAnsi="宋体" w:cs="宋体"/>
          <w:b/>
          <w:bCs/>
          <w:szCs w:val="28"/>
        </w:rPr>
        <w:t>第五章</w:t>
      </w:r>
      <w:r>
        <w:rPr>
          <w:rFonts w:ascii="宋体" w:hAnsi="宋体" w:cs="宋体"/>
          <w:b/>
          <w:bCs/>
          <w:szCs w:val="28"/>
        </w:rPr>
        <w:t xml:space="preserve"> </w:t>
      </w:r>
      <w:r>
        <w:rPr>
          <w:rFonts w:hint="eastAsia" w:ascii="宋体" w:hAnsi="宋体" w:cs="宋体"/>
          <w:b/>
          <w:bCs/>
          <w:szCs w:val="28"/>
        </w:rPr>
        <w:t>合同条款及格式</w:t>
      </w:r>
      <w:r>
        <w:rPr>
          <w:b/>
          <w:bCs/>
        </w:rPr>
        <w:tab/>
      </w:r>
      <w:r>
        <w:rPr>
          <w:b/>
          <w:bCs/>
        </w:rPr>
        <w:fldChar w:fldCharType="begin"/>
      </w:r>
      <w:r>
        <w:rPr>
          <w:b/>
          <w:bCs/>
        </w:rPr>
        <w:instrText xml:space="preserve"> PAGEREF _Toc23646 \h </w:instrText>
      </w:r>
      <w:r>
        <w:rPr>
          <w:b/>
          <w:bCs/>
        </w:rPr>
        <w:fldChar w:fldCharType="separate"/>
      </w:r>
      <w:r>
        <w:rPr>
          <w:b/>
          <w:bCs/>
        </w:rPr>
        <w:t>32</w:t>
      </w:r>
      <w:r>
        <w:rPr>
          <w:b/>
          <w:bCs/>
        </w:rPr>
        <w:fldChar w:fldCharType="end"/>
      </w:r>
      <w:r>
        <w:rPr>
          <w:b/>
          <w:bCs/>
        </w:rPr>
        <w:fldChar w:fldCharType="end"/>
      </w:r>
    </w:p>
    <w:p w14:paraId="29CD69D5">
      <w:pPr>
        <w:pStyle w:val="41"/>
        <w:tabs>
          <w:tab w:val="right" w:leader="dot" w:pos="9070"/>
        </w:tabs>
        <w:ind w:left="420"/>
      </w:pPr>
      <w:r>
        <w:fldChar w:fldCharType="begin"/>
      </w:r>
      <w:r>
        <w:instrText xml:space="preserve"> HYPERLINK \l "_Toc12093" </w:instrText>
      </w:r>
      <w:r>
        <w:fldChar w:fldCharType="separate"/>
      </w:r>
      <w:r>
        <w:rPr>
          <w:rFonts w:hint="eastAsia" w:ascii="宋体" w:hAnsi="宋体" w:cs="宋体"/>
          <w:bCs/>
          <w:kern w:val="0"/>
          <w:szCs w:val="32"/>
        </w:rPr>
        <w:t>第一部分  协议书</w:t>
      </w:r>
      <w:r>
        <w:tab/>
      </w:r>
      <w:r>
        <w:fldChar w:fldCharType="begin"/>
      </w:r>
      <w:r>
        <w:instrText xml:space="preserve"> PAGEREF _Toc12093 \h </w:instrText>
      </w:r>
      <w:r>
        <w:fldChar w:fldCharType="separate"/>
      </w:r>
      <w:r>
        <w:t>34</w:t>
      </w:r>
      <w:r>
        <w:fldChar w:fldCharType="end"/>
      </w:r>
      <w:r>
        <w:fldChar w:fldCharType="end"/>
      </w:r>
    </w:p>
    <w:p w14:paraId="43E67804">
      <w:pPr>
        <w:pStyle w:val="41"/>
        <w:tabs>
          <w:tab w:val="right" w:leader="dot" w:pos="9070"/>
        </w:tabs>
        <w:ind w:left="420"/>
      </w:pPr>
      <w:r>
        <w:fldChar w:fldCharType="begin"/>
      </w:r>
      <w:r>
        <w:instrText xml:space="preserve"> HYPERLINK \l "_Toc19210" </w:instrText>
      </w:r>
      <w:r>
        <w:fldChar w:fldCharType="separate"/>
      </w:r>
      <w:r>
        <w:rPr>
          <w:rFonts w:hint="eastAsia" w:ascii="宋体" w:hAnsi="宋体" w:cs="宋体"/>
          <w:bCs/>
          <w:kern w:val="0"/>
          <w:szCs w:val="32"/>
        </w:rPr>
        <w:t>第二部分  合同条款</w:t>
      </w:r>
      <w:r>
        <w:tab/>
      </w:r>
      <w:r>
        <w:fldChar w:fldCharType="begin"/>
      </w:r>
      <w:r>
        <w:instrText xml:space="preserve"> PAGEREF _Toc19210 \h </w:instrText>
      </w:r>
      <w:r>
        <w:fldChar w:fldCharType="separate"/>
      </w:r>
      <w:r>
        <w:t>37</w:t>
      </w:r>
      <w:r>
        <w:fldChar w:fldCharType="end"/>
      </w:r>
      <w:r>
        <w:fldChar w:fldCharType="end"/>
      </w:r>
    </w:p>
    <w:p w14:paraId="6CEF8BF8">
      <w:pPr>
        <w:pStyle w:val="34"/>
        <w:tabs>
          <w:tab w:val="right" w:leader="dot" w:pos="9070"/>
        </w:tabs>
        <w:rPr>
          <w:b/>
          <w:bCs/>
        </w:rPr>
      </w:pPr>
      <w:r>
        <w:fldChar w:fldCharType="begin"/>
      </w:r>
      <w:r>
        <w:instrText xml:space="preserve"> HYPERLINK \l "_Toc2454" </w:instrText>
      </w:r>
      <w:r>
        <w:fldChar w:fldCharType="separate"/>
      </w:r>
      <w:r>
        <w:rPr>
          <w:rFonts w:hint="eastAsia" w:ascii="宋体" w:hAnsi="宋体" w:cs="宋体"/>
          <w:b/>
          <w:bCs/>
          <w:szCs w:val="28"/>
        </w:rPr>
        <w:t>第六章</w:t>
      </w:r>
      <w:r>
        <w:rPr>
          <w:rFonts w:ascii="宋体" w:hAnsi="宋体" w:cs="宋体"/>
          <w:b/>
          <w:bCs/>
          <w:szCs w:val="28"/>
        </w:rPr>
        <w:t xml:space="preserve"> </w:t>
      </w:r>
      <w:r>
        <w:rPr>
          <w:rFonts w:hint="eastAsia" w:ascii="宋体" w:hAnsi="宋体" w:cs="宋体"/>
          <w:b/>
          <w:bCs/>
          <w:szCs w:val="28"/>
        </w:rPr>
        <w:t>响应文件格式</w:t>
      </w:r>
      <w:r>
        <w:rPr>
          <w:b/>
          <w:bCs/>
        </w:rPr>
        <w:tab/>
      </w:r>
      <w:r>
        <w:rPr>
          <w:b/>
          <w:bCs/>
        </w:rPr>
        <w:fldChar w:fldCharType="begin"/>
      </w:r>
      <w:r>
        <w:rPr>
          <w:b/>
          <w:bCs/>
        </w:rPr>
        <w:instrText xml:space="preserve"> PAGEREF _Toc2454 \h </w:instrText>
      </w:r>
      <w:r>
        <w:rPr>
          <w:b/>
          <w:bCs/>
        </w:rPr>
        <w:fldChar w:fldCharType="separate"/>
      </w:r>
      <w:r>
        <w:rPr>
          <w:b/>
          <w:bCs/>
        </w:rPr>
        <w:t>49</w:t>
      </w:r>
      <w:r>
        <w:rPr>
          <w:b/>
          <w:bCs/>
        </w:rPr>
        <w:fldChar w:fldCharType="end"/>
      </w:r>
      <w:r>
        <w:rPr>
          <w:b/>
          <w:bCs/>
        </w:rPr>
        <w:fldChar w:fldCharType="end"/>
      </w:r>
    </w:p>
    <w:p w14:paraId="2A677632">
      <w:pPr>
        <w:widowControl/>
        <w:jc w:val="left"/>
        <w:rPr>
          <w:rFonts w:ascii="宋体" w:hAnsi="宋体" w:cs="宋体"/>
          <w:b/>
        </w:rPr>
        <w:sectPr>
          <w:footerReference r:id="rId5" w:type="default"/>
          <w:pgSz w:w="11906" w:h="16838"/>
          <w:pgMar w:top="1418" w:right="1418" w:bottom="1418" w:left="1418" w:header="851" w:footer="992" w:gutter="0"/>
          <w:pgNumType w:start="1"/>
          <w:cols w:space="720" w:num="1"/>
          <w:docGrid w:type="lines" w:linePitch="312" w:charSpace="0"/>
        </w:sectPr>
      </w:pPr>
      <w:r>
        <w:rPr>
          <w:rFonts w:ascii="宋体" w:hAnsi="宋体" w:cs="宋体"/>
          <w:kern w:val="0"/>
          <w:szCs w:val="28"/>
          <w:lang w:val="zh-CN"/>
        </w:rPr>
        <w:fldChar w:fldCharType="end"/>
      </w:r>
    </w:p>
    <w:p w14:paraId="4A2CEB1C">
      <w:pPr>
        <w:ind w:firstLine="435"/>
        <w:jc w:val="center"/>
        <w:outlineLvl w:val="0"/>
        <w:rPr>
          <w:rFonts w:ascii="宋体" w:hAnsi="宋体" w:cs="宋体"/>
          <w:b/>
          <w:sz w:val="28"/>
          <w:szCs w:val="28"/>
        </w:rPr>
      </w:pPr>
      <w:bookmarkStart w:id="3" w:name="_Toc355604664"/>
      <w:bookmarkStart w:id="4" w:name="_Toc467278590"/>
      <w:bookmarkStart w:id="5" w:name="_Toc18765"/>
      <w:r>
        <w:rPr>
          <w:rFonts w:hint="eastAsia" w:ascii="宋体" w:hAnsi="宋体" w:cs="宋体"/>
          <w:b/>
          <w:sz w:val="28"/>
          <w:szCs w:val="28"/>
        </w:rPr>
        <w:t>第一章</w:t>
      </w:r>
      <w:r>
        <w:rPr>
          <w:rFonts w:ascii="宋体" w:hAnsi="宋体" w:cs="宋体"/>
          <w:b/>
          <w:sz w:val="28"/>
          <w:szCs w:val="28"/>
        </w:rPr>
        <w:t xml:space="preserve"> </w:t>
      </w:r>
      <w:bookmarkEnd w:id="3"/>
      <w:bookmarkEnd w:id="4"/>
      <w:r>
        <w:rPr>
          <w:rFonts w:hint="eastAsia" w:ascii="宋体" w:hAnsi="宋体" w:cs="宋体"/>
          <w:b/>
          <w:sz w:val="28"/>
          <w:szCs w:val="28"/>
        </w:rPr>
        <w:t>竞争性磋商公告</w:t>
      </w:r>
      <w:bookmarkEnd w:id="5"/>
    </w:p>
    <w:p w14:paraId="6FBB9A72">
      <w:pPr>
        <w:pBdr>
          <w:top w:val="single" w:color="auto" w:sz="4" w:space="1"/>
          <w:left w:val="single" w:color="auto" w:sz="4" w:space="4"/>
          <w:bottom w:val="single" w:color="auto" w:sz="4" w:space="1"/>
          <w:right w:val="single" w:color="auto" w:sz="4" w:space="4"/>
        </w:pBdr>
        <w:wordWrap w:val="0"/>
        <w:spacing w:line="360" w:lineRule="auto"/>
        <w:ind w:firstLine="480" w:firstLineChars="200"/>
        <w:rPr>
          <w:rFonts w:ascii="宋体" w:hAnsi="宋体" w:cs="宋体"/>
          <w:sz w:val="24"/>
        </w:rPr>
      </w:pPr>
      <w:r>
        <w:rPr>
          <w:rFonts w:hint="eastAsia" w:ascii="宋体" w:hAnsi="宋体" w:cs="宋体"/>
          <w:sz w:val="24"/>
        </w:rPr>
        <w:t>项目概况</w:t>
      </w:r>
    </w:p>
    <w:p w14:paraId="22AFA7FE">
      <w:pPr>
        <w:pBdr>
          <w:top w:val="single" w:color="auto" w:sz="4" w:space="1"/>
          <w:left w:val="single" w:color="auto" w:sz="4" w:space="4"/>
          <w:bottom w:val="single" w:color="auto" w:sz="4" w:space="1"/>
          <w:right w:val="single" w:color="auto" w:sz="4" w:space="4"/>
        </w:pBdr>
        <w:wordWrap w:val="0"/>
        <w:spacing w:line="360" w:lineRule="auto"/>
        <w:ind w:firstLine="480" w:firstLineChars="200"/>
        <w:rPr>
          <w:rFonts w:ascii="宋体" w:hAnsi="宋体" w:cs="宋体"/>
          <w:sz w:val="24"/>
        </w:rPr>
      </w:pPr>
      <w:r>
        <w:rPr>
          <w:rFonts w:hint="eastAsia" w:ascii="宋体" w:hAnsi="宋体" w:cs="宋体"/>
          <w:sz w:val="24"/>
        </w:rPr>
        <w:t>皇岗海关29栋、31栋、33栋、34栋公有住房修缮项目的潜在供应商应在深圳市深水水务咨询有限公司（链接:https://jdy.shenshuizaojia.com:8443/f/6758fdb2f9ae5eae94a793db）获取采购文件，并于2025年</w:t>
      </w:r>
      <w:r>
        <w:rPr>
          <w:rFonts w:hint="eastAsia" w:ascii="宋体" w:hAnsi="宋体" w:cs="宋体"/>
          <w:sz w:val="24"/>
          <w:lang w:val="en-US" w:eastAsia="zh-CN"/>
        </w:rPr>
        <w:t>10</w:t>
      </w:r>
      <w:r>
        <w:rPr>
          <w:rFonts w:hint="eastAsia" w:ascii="宋体" w:hAnsi="宋体" w:cs="宋体"/>
          <w:sz w:val="24"/>
        </w:rPr>
        <w:t>月</w:t>
      </w:r>
      <w:r>
        <w:rPr>
          <w:rFonts w:hint="eastAsia" w:ascii="宋体" w:hAnsi="宋体" w:cs="宋体"/>
          <w:sz w:val="24"/>
          <w:lang w:val="en-US" w:eastAsia="zh-CN"/>
        </w:rPr>
        <w:t>13</w:t>
      </w:r>
      <w:r>
        <w:rPr>
          <w:rFonts w:hint="eastAsia" w:ascii="宋体" w:hAnsi="宋体" w:cs="宋体"/>
          <w:sz w:val="24"/>
        </w:rPr>
        <w:t>日09点30分（北京时间）前提交响应文件。</w:t>
      </w:r>
    </w:p>
    <w:p w14:paraId="24FC3B10">
      <w:pPr>
        <w:spacing w:line="360" w:lineRule="auto"/>
        <w:rPr>
          <w:rFonts w:ascii="宋体" w:hAnsi="宋体" w:cs="宋体"/>
          <w:b/>
          <w:sz w:val="24"/>
        </w:rPr>
      </w:pPr>
      <w:bookmarkStart w:id="6" w:name="_Toc35393798"/>
      <w:bookmarkStart w:id="7" w:name="_Toc28359012"/>
      <w:bookmarkStart w:id="8" w:name="_Toc28359089"/>
      <w:bookmarkStart w:id="9" w:name="_Toc35393629"/>
      <w:r>
        <w:rPr>
          <w:rFonts w:hint="eastAsia" w:ascii="宋体" w:hAnsi="宋体" w:cs="宋体"/>
          <w:b/>
          <w:sz w:val="24"/>
        </w:rPr>
        <w:t>一、项目基本情况</w:t>
      </w:r>
      <w:bookmarkEnd w:id="6"/>
      <w:bookmarkEnd w:id="7"/>
      <w:bookmarkEnd w:id="8"/>
      <w:bookmarkEnd w:id="9"/>
    </w:p>
    <w:p w14:paraId="072F68D8">
      <w:pPr>
        <w:spacing w:line="360" w:lineRule="auto"/>
        <w:ind w:firstLine="480" w:firstLineChars="200"/>
        <w:rPr>
          <w:rFonts w:ascii="宋体" w:hAnsi="宋体" w:cs="宋体"/>
          <w:sz w:val="24"/>
        </w:rPr>
      </w:pPr>
      <w:r>
        <w:rPr>
          <w:rFonts w:hint="eastAsia" w:ascii="宋体" w:hAnsi="宋体" w:cs="宋体"/>
          <w:sz w:val="24"/>
        </w:rPr>
        <w:t>项目编号：SSZX2025-303</w:t>
      </w:r>
    </w:p>
    <w:p w14:paraId="646D4B5A">
      <w:pPr>
        <w:spacing w:line="360" w:lineRule="auto"/>
        <w:ind w:firstLine="480" w:firstLineChars="200"/>
        <w:rPr>
          <w:rFonts w:ascii="宋体" w:hAnsi="宋体" w:cs="宋体"/>
          <w:sz w:val="24"/>
        </w:rPr>
      </w:pPr>
      <w:r>
        <w:rPr>
          <w:rFonts w:hint="eastAsia" w:ascii="宋体" w:hAnsi="宋体" w:cs="宋体"/>
          <w:sz w:val="24"/>
        </w:rPr>
        <w:t>项目名称：皇岗海关29栋、31栋、33栋、34栋公有住房修缮项目</w:t>
      </w:r>
    </w:p>
    <w:p w14:paraId="69D2BA33">
      <w:pPr>
        <w:spacing w:line="360" w:lineRule="auto"/>
        <w:ind w:firstLine="480" w:firstLineChars="200"/>
        <w:rPr>
          <w:rFonts w:ascii="宋体" w:hAnsi="宋体" w:cs="宋体"/>
          <w:sz w:val="24"/>
        </w:rPr>
      </w:pPr>
      <w:r>
        <w:rPr>
          <w:rFonts w:hint="eastAsia" w:ascii="宋体" w:hAnsi="宋体" w:cs="宋体"/>
          <w:sz w:val="24"/>
        </w:rPr>
        <w:t>采购方式：竞争性磋商</w:t>
      </w:r>
    </w:p>
    <w:p w14:paraId="4A43DCE2">
      <w:pPr>
        <w:spacing w:line="360" w:lineRule="auto"/>
        <w:ind w:firstLine="480" w:firstLineChars="200"/>
        <w:rPr>
          <w:rFonts w:ascii="宋体" w:hAnsi="宋体" w:cs="宋体"/>
          <w:sz w:val="24"/>
        </w:rPr>
      </w:pPr>
      <w:r>
        <w:rPr>
          <w:rFonts w:hint="eastAsia" w:ascii="宋体" w:hAnsi="宋体" w:cs="宋体"/>
          <w:sz w:val="24"/>
        </w:rPr>
        <w:t>预算金额：184.943334万元（人民币）</w:t>
      </w:r>
    </w:p>
    <w:p w14:paraId="19E7A65C">
      <w:pPr>
        <w:spacing w:line="360" w:lineRule="auto"/>
        <w:ind w:firstLine="480" w:firstLineChars="200"/>
        <w:rPr>
          <w:rFonts w:ascii="宋体" w:hAnsi="宋体" w:cs="宋体"/>
          <w:sz w:val="24"/>
        </w:rPr>
      </w:pPr>
      <w:r>
        <w:rPr>
          <w:rFonts w:hint="eastAsia" w:ascii="宋体" w:hAnsi="宋体" w:cs="宋体"/>
          <w:sz w:val="24"/>
        </w:rPr>
        <w:t>最高限价（如有）：184.943334万元（人民币）</w:t>
      </w:r>
    </w:p>
    <w:p w14:paraId="3F77135B">
      <w:pPr>
        <w:spacing w:line="360" w:lineRule="auto"/>
        <w:ind w:firstLine="480" w:firstLineChars="200"/>
        <w:rPr>
          <w:rFonts w:ascii="宋体" w:hAnsi="宋体" w:cs="宋体"/>
          <w:sz w:val="24"/>
        </w:rPr>
      </w:pPr>
      <w:r>
        <w:rPr>
          <w:rFonts w:hint="eastAsia" w:ascii="宋体" w:hAnsi="宋体" w:cs="宋体"/>
          <w:sz w:val="24"/>
        </w:rPr>
        <w:t>采购需求：为消除安全隐患，对皇岗生活区65套公有住房进行修缮，进一步改善皇岗生活区公有住房环境，具体详见本项目需求书。</w:t>
      </w:r>
    </w:p>
    <w:p w14:paraId="0B241497">
      <w:pPr>
        <w:spacing w:line="360" w:lineRule="auto"/>
        <w:ind w:firstLine="480" w:firstLineChars="200"/>
        <w:rPr>
          <w:rFonts w:ascii="宋体" w:hAnsi="宋体" w:cs="宋体"/>
          <w:sz w:val="24"/>
        </w:rPr>
      </w:pPr>
      <w:r>
        <w:rPr>
          <w:rFonts w:hint="eastAsia" w:ascii="宋体" w:hAnsi="宋体" w:cs="宋体"/>
          <w:sz w:val="24"/>
        </w:rPr>
        <w:t>合同履行期限：75天（日历日）内。</w:t>
      </w:r>
    </w:p>
    <w:p w14:paraId="5972AA54">
      <w:pPr>
        <w:spacing w:line="360" w:lineRule="auto"/>
        <w:ind w:firstLine="480" w:firstLineChars="200"/>
        <w:rPr>
          <w:rFonts w:ascii="宋体" w:hAnsi="宋体" w:cs="宋体"/>
          <w:sz w:val="24"/>
        </w:rPr>
      </w:pPr>
      <w:r>
        <w:rPr>
          <w:rFonts w:hint="eastAsia" w:ascii="宋体" w:hAnsi="宋体" w:cs="宋体"/>
          <w:sz w:val="24"/>
        </w:rPr>
        <w:t>本项目（不接受）联合体。</w:t>
      </w:r>
    </w:p>
    <w:p w14:paraId="63C0DB6B">
      <w:pPr>
        <w:spacing w:line="360" w:lineRule="auto"/>
        <w:rPr>
          <w:rFonts w:ascii="宋体" w:hAnsi="宋体" w:cs="宋体"/>
          <w:b/>
          <w:sz w:val="24"/>
        </w:rPr>
      </w:pPr>
      <w:r>
        <w:rPr>
          <w:rFonts w:hint="eastAsia" w:ascii="宋体" w:hAnsi="宋体" w:cs="宋体"/>
          <w:b/>
          <w:sz w:val="24"/>
        </w:rPr>
        <w:t>二、申请人的资格要求：</w:t>
      </w:r>
    </w:p>
    <w:p w14:paraId="59F71D8E">
      <w:pPr>
        <w:spacing w:line="360" w:lineRule="auto"/>
        <w:ind w:firstLine="480" w:firstLineChars="200"/>
        <w:rPr>
          <w:rFonts w:ascii="宋体" w:hAnsi="宋体" w:cs="宋体"/>
          <w:sz w:val="24"/>
        </w:rPr>
      </w:pPr>
      <w:r>
        <w:rPr>
          <w:rFonts w:hint="eastAsia" w:ascii="宋体" w:hAnsi="宋体" w:cs="宋体"/>
          <w:sz w:val="24"/>
        </w:rPr>
        <w:t xml:space="preserve">1.满足《中华人民共和国政府采购法》第二十二条规定； </w:t>
      </w:r>
    </w:p>
    <w:p w14:paraId="5C73FC69">
      <w:pPr>
        <w:spacing w:line="360" w:lineRule="auto"/>
        <w:ind w:firstLine="480" w:firstLineChars="200"/>
        <w:rPr>
          <w:rFonts w:ascii="宋体" w:hAnsi="宋体" w:cs="宋体"/>
          <w:sz w:val="24"/>
        </w:rPr>
      </w:pPr>
      <w:r>
        <w:rPr>
          <w:rFonts w:hint="eastAsia" w:ascii="宋体" w:hAnsi="宋体" w:cs="宋体"/>
          <w:sz w:val="24"/>
        </w:rPr>
        <w:t>2.落实政府采购政策需满足的资格要求：</w:t>
      </w:r>
    </w:p>
    <w:p w14:paraId="35B83ADB">
      <w:pPr>
        <w:spacing w:line="360" w:lineRule="auto"/>
        <w:ind w:firstLine="480" w:firstLineChars="200"/>
        <w:rPr>
          <w:rFonts w:ascii="宋体" w:hAnsi="宋体" w:cs="宋体"/>
          <w:sz w:val="24"/>
        </w:rPr>
      </w:pPr>
      <w:r>
        <w:rPr>
          <w:rFonts w:hint="eastAsia" w:ascii="宋体" w:hAnsi="宋体" w:cs="宋体"/>
          <w:sz w:val="24"/>
        </w:rPr>
        <w:t>本项目属于专门面向中小微企业采购的项目（提供符合要求的《中小企业声明函》，响应供应商必须属于中型企业、小型企业或微型企业；如供应商为残疾人福利性单位或监狱企业，视同小型、微型企业，提供《残疾人福利性单位声明函》或《监狱企业声明函》及监狱企业证明文件亦视为符合。采购标的对应的中小企业划分标准所属行业：建筑业。</w:t>
      </w:r>
    </w:p>
    <w:p w14:paraId="627423DB">
      <w:pPr>
        <w:spacing w:line="360" w:lineRule="auto"/>
        <w:ind w:firstLine="480" w:firstLineChars="200"/>
        <w:rPr>
          <w:rFonts w:ascii="宋体" w:hAnsi="宋体" w:cs="宋体"/>
          <w:i/>
          <w:iCs/>
          <w:sz w:val="24"/>
        </w:rPr>
      </w:pPr>
      <w:r>
        <w:rPr>
          <w:rFonts w:hint="eastAsia" w:ascii="宋体" w:hAnsi="宋体" w:cs="宋体"/>
          <w:sz w:val="24"/>
        </w:rPr>
        <w:t>3.本项目的特定资格要求</w:t>
      </w:r>
    </w:p>
    <w:p w14:paraId="7BB89EF8">
      <w:pPr>
        <w:spacing w:line="360" w:lineRule="auto"/>
        <w:ind w:firstLine="480" w:firstLineChars="200"/>
        <w:rPr>
          <w:rFonts w:ascii="宋体" w:hAnsi="宋体" w:cs="宋体"/>
          <w:sz w:val="24"/>
        </w:rPr>
      </w:pPr>
      <w:r>
        <w:rPr>
          <w:rFonts w:hint="eastAsia" w:ascii="宋体" w:hAnsi="宋体" w:cs="宋体"/>
          <w:sz w:val="24"/>
        </w:rPr>
        <w:t>3.1具有独立法人资格或具有独立承担民事责任的能力的其它组织（提供营业执照或事业单位法人证等法人证明复印件并加盖供应商公章，原件备查）；</w:t>
      </w:r>
    </w:p>
    <w:p w14:paraId="68749CAD">
      <w:pPr>
        <w:spacing w:line="360" w:lineRule="auto"/>
        <w:ind w:firstLine="480" w:firstLineChars="200"/>
        <w:rPr>
          <w:rFonts w:ascii="宋体" w:hAnsi="宋体" w:cs="宋体"/>
          <w:sz w:val="24"/>
        </w:rPr>
      </w:pPr>
      <w:r>
        <w:rPr>
          <w:rFonts w:hint="eastAsia" w:ascii="宋体" w:hAnsi="宋体" w:cs="宋体"/>
          <w:sz w:val="24"/>
        </w:rPr>
        <w:t>3.2参与本项目政府采购活动时不存在被有关部门禁止参与政府采购活动且在有效期内的情况（由供应商在《政府采购及履约承诺函》中作出声明，加盖公章）；</w:t>
      </w:r>
    </w:p>
    <w:p w14:paraId="3EB2AC5E">
      <w:pPr>
        <w:spacing w:line="360" w:lineRule="auto"/>
        <w:ind w:firstLine="480" w:firstLineChars="200"/>
        <w:rPr>
          <w:rFonts w:ascii="宋体" w:hAnsi="宋体" w:cs="宋体"/>
          <w:sz w:val="24"/>
        </w:rPr>
      </w:pPr>
      <w:r>
        <w:rPr>
          <w:rFonts w:hint="eastAsia" w:ascii="宋体" w:hAnsi="宋体" w:cs="宋体"/>
          <w:sz w:val="24"/>
        </w:rPr>
        <w:t>3.3具备《中华人民共和国政府采购法》第二十二条的条件（由供应商在《政府采购及履约承诺函》中作出声明，加盖公章）；</w:t>
      </w:r>
    </w:p>
    <w:p w14:paraId="47285A27">
      <w:pPr>
        <w:spacing w:line="360" w:lineRule="auto"/>
        <w:ind w:firstLine="480" w:firstLineChars="200"/>
        <w:rPr>
          <w:rFonts w:ascii="宋体" w:hAnsi="宋体" w:cs="宋体"/>
          <w:sz w:val="24"/>
        </w:rPr>
      </w:pPr>
      <w:r>
        <w:rPr>
          <w:rFonts w:hint="eastAsia" w:ascii="宋体" w:hAnsi="宋体" w:cs="宋体"/>
          <w:sz w:val="24"/>
        </w:rPr>
        <w:t>3.4未被列入失信被执行人、重大税收违法失信主体、政府采购严重违法失信行为记录名单（由供应商在《政府采购及履约承诺函》中作出声明，加盖公章）；【注：采购代理机构将通过“信用中国”中“信用服务”栏的“重大税收违法失信主体”“失信被执行人”、“中国政府采购网”中的“政府采购严重违法失信行为记录名单”、“深圳信用网”以及“深圳市政府采购监管网”查询供应商的信用信息，相关信息以开标当日的查询结果为准。信用信息查询记录将作为项目档案材料一并保存。】</w:t>
      </w:r>
    </w:p>
    <w:p w14:paraId="1E2A41D7">
      <w:pPr>
        <w:spacing w:line="360" w:lineRule="auto"/>
        <w:ind w:firstLine="480" w:firstLineChars="200"/>
        <w:rPr>
          <w:rFonts w:ascii="宋体" w:hAnsi="宋体" w:cs="宋体"/>
          <w:sz w:val="24"/>
        </w:rPr>
      </w:pPr>
      <w:r>
        <w:rPr>
          <w:rFonts w:hint="eastAsia" w:ascii="宋体" w:hAnsi="宋体" w:cs="宋体"/>
          <w:sz w:val="24"/>
        </w:rPr>
        <w:t>3.5单位法定代表人（负责人）为同一人或者存在直接控股、管理关系的不同供应商，不得同时参加本项目（由供应商在《政府采购及履约承诺函》中作出声明，加盖公章）；</w:t>
      </w:r>
    </w:p>
    <w:p w14:paraId="5443D1A0">
      <w:pPr>
        <w:spacing w:line="360" w:lineRule="auto"/>
        <w:ind w:firstLine="480" w:firstLineChars="200"/>
        <w:rPr>
          <w:rFonts w:ascii="宋体" w:hAnsi="宋体" w:cs="宋体"/>
          <w:sz w:val="24"/>
        </w:rPr>
      </w:pPr>
      <w:r>
        <w:rPr>
          <w:rFonts w:hint="eastAsia" w:ascii="宋体" w:hAnsi="宋体" w:cs="宋体"/>
          <w:sz w:val="24"/>
        </w:rPr>
        <w:t>3.6一个供应商不得提交两个或两个以上不同的响应文件或响应报价。如果供应商之间存在下列为关联关系的情形之一的，不得同时参加本项目响应，否则其响应无效（供应商须提供《承诺函》，格式自拟，并加盖单位公章）：</w:t>
      </w:r>
    </w:p>
    <w:p w14:paraId="4CD8BBE8">
      <w:pPr>
        <w:spacing w:line="360" w:lineRule="auto"/>
        <w:ind w:firstLine="480" w:firstLineChars="200"/>
        <w:rPr>
          <w:rFonts w:ascii="宋体" w:hAnsi="宋体" w:cs="宋体"/>
          <w:sz w:val="24"/>
        </w:rPr>
      </w:pPr>
      <w:r>
        <w:rPr>
          <w:rFonts w:hint="eastAsia" w:ascii="宋体" w:hAnsi="宋体" w:cs="宋体"/>
          <w:sz w:val="24"/>
        </w:rPr>
        <w:t>（1）法定代表人为同一人的两个或两个以上法人；</w:t>
      </w:r>
    </w:p>
    <w:p w14:paraId="2F15D4E7">
      <w:pPr>
        <w:spacing w:line="360" w:lineRule="auto"/>
        <w:ind w:firstLine="480" w:firstLineChars="200"/>
        <w:rPr>
          <w:rFonts w:ascii="宋体" w:hAnsi="宋体" w:cs="宋体"/>
          <w:sz w:val="24"/>
        </w:rPr>
      </w:pPr>
      <w:r>
        <w:rPr>
          <w:rFonts w:hint="eastAsia" w:ascii="宋体" w:hAnsi="宋体" w:cs="宋体"/>
          <w:sz w:val="24"/>
        </w:rPr>
        <w:t>（2）母公司或实际控制人及其直接或间接持股50%及以上的被投资公司；</w:t>
      </w:r>
    </w:p>
    <w:p w14:paraId="25A0069F">
      <w:pPr>
        <w:spacing w:line="360" w:lineRule="auto"/>
        <w:ind w:firstLine="480" w:firstLineChars="200"/>
        <w:rPr>
          <w:rFonts w:ascii="宋体" w:hAnsi="宋体" w:cs="宋体"/>
          <w:sz w:val="24"/>
        </w:rPr>
      </w:pPr>
      <w:r>
        <w:rPr>
          <w:rFonts w:hint="eastAsia" w:ascii="宋体" w:hAnsi="宋体" w:cs="宋体"/>
          <w:sz w:val="24"/>
        </w:rPr>
        <w:t>（3）均为同一家母公司或实际控制人直接或间接持股50%及以上的被投资公司。</w:t>
      </w:r>
    </w:p>
    <w:p w14:paraId="6C27E0FD">
      <w:pPr>
        <w:spacing w:line="360" w:lineRule="auto"/>
        <w:ind w:firstLine="480" w:firstLineChars="200"/>
        <w:rPr>
          <w:rFonts w:ascii="宋体" w:hAnsi="宋体" w:cs="宋体"/>
          <w:sz w:val="24"/>
        </w:rPr>
      </w:pPr>
      <w:r>
        <w:rPr>
          <w:rFonts w:hint="eastAsia" w:ascii="宋体" w:hAnsi="宋体" w:cs="宋体"/>
          <w:sz w:val="24"/>
        </w:rPr>
        <w:t>3.7为本项目提供整体设计、规范编制或者项目管理、监理、检测等服务的供应商，不得参加本项目。（由供应商在《政府采购及履约承诺函》中作出声明，加盖公章）；</w:t>
      </w:r>
    </w:p>
    <w:p w14:paraId="33A894A7">
      <w:pPr>
        <w:spacing w:line="360" w:lineRule="auto"/>
        <w:ind w:firstLine="480" w:firstLineChars="200"/>
        <w:rPr>
          <w:rFonts w:ascii="宋体" w:hAnsi="宋体" w:cs="宋体"/>
          <w:sz w:val="24"/>
        </w:rPr>
      </w:pPr>
      <w:r>
        <w:rPr>
          <w:rFonts w:hint="eastAsia" w:ascii="宋体" w:hAnsi="宋体" w:cs="宋体"/>
          <w:sz w:val="24"/>
        </w:rPr>
        <w:t>3.8本项目不接受联合体响应，不接受进口产品参与磋商，不允许转包分包（由供应商在《政府采购及履约承诺函》中作出声明，加盖公章）；</w:t>
      </w:r>
    </w:p>
    <w:p w14:paraId="543BCB2A">
      <w:pPr>
        <w:spacing w:line="360" w:lineRule="auto"/>
        <w:ind w:firstLine="480" w:firstLineChars="200"/>
        <w:rPr>
          <w:rFonts w:ascii="宋体" w:hAnsi="宋体" w:cs="宋体"/>
          <w:sz w:val="24"/>
        </w:rPr>
      </w:pPr>
      <w:r>
        <w:rPr>
          <w:rFonts w:hint="eastAsia" w:ascii="宋体" w:hAnsi="宋体" w:cs="宋体"/>
          <w:sz w:val="24"/>
        </w:rPr>
        <w:t>3.9具有以下资质（供应商须提供相关资质证书证明材料复印件并加盖单位公章）：</w:t>
      </w:r>
    </w:p>
    <w:p w14:paraId="05A488CA">
      <w:pPr>
        <w:spacing w:line="360" w:lineRule="auto"/>
        <w:ind w:firstLine="480" w:firstLineChars="200"/>
        <w:rPr>
          <w:rFonts w:ascii="宋体" w:hAnsi="宋体" w:cs="宋体"/>
          <w:sz w:val="24"/>
        </w:rPr>
      </w:pPr>
      <w:r>
        <w:rPr>
          <w:rFonts w:hint="eastAsia" w:ascii="宋体" w:hAnsi="宋体" w:cs="宋体"/>
          <w:sz w:val="24"/>
        </w:rPr>
        <w:t>①建设行政主管部门核发的有效的“建筑工程施工总承包三级及以上资质”或“建筑装修装饰工程专业承包二级及以上资质”。</w:t>
      </w:r>
    </w:p>
    <w:p w14:paraId="29FDF262">
      <w:pPr>
        <w:spacing w:line="360" w:lineRule="auto"/>
        <w:ind w:firstLine="480" w:firstLineChars="200"/>
        <w:rPr>
          <w:rFonts w:ascii="宋体" w:hAnsi="宋体" w:cs="宋体"/>
          <w:sz w:val="24"/>
        </w:rPr>
      </w:pPr>
      <w:r>
        <w:rPr>
          <w:rFonts w:hint="eastAsia" w:ascii="宋体" w:hAnsi="宋体" w:cs="宋体"/>
          <w:sz w:val="24"/>
        </w:rPr>
        <w:t>②具有有效的安全生产许可证（提供复印件加盖公章）。</w:t>
      </w:r>
    </w:p>
    <w:p w14:paraId="4EBE2125">
      <w:pPr>
        <w:spacing w:line="360" w:lineRule="auto"/>
        <w:rPr>
          <w:rFonts w:ascii="宋体" w:hAnsi="宋体" w:cs="宋体"/>
          <w:b/>
          <w:sz w:val="24"/>
        </w:rPr>
      </w:pPr>
      <w:r>
        <w:rPr>
          <w:rFonts w:hint="eastAsia" w:ascii="宋体" w:hAnsi="宋体" w:cs="宋体"/>
          <w:b/>
          <w:sz w:val="24"/>
        </w:rPr>
        <w:t>三、获取采购文件</w:t>
      </w:r>
    </w:p>
    <w:p w14:paraId="06A6F495">
      <w:pPr>
        <w:spacing w:line="360" w:lineRule="auto"/>
        <w:ind w:firstLine="480" w:firstLineChars="200"/>
        <w:rPr>
          <w:rFonts w:ascii="宋体" w:hAnsi="宋体" w:cs="宋体"/>
          <w:sz w:val="24"/>
        </w:rPr>
      </w:pPr>
      <w:r>
        <w:rPr>
          <w:rFonts w:hint="eastAsia" w:ascii="宋体" w:hAnsi="宋体" w:cs="宋体"/>
          <w:sz w:val="24"/>
        </w:rPr>
        <w:t>时间：2025年</w:t>
      </w:r>
      <w:r>
        <w:rPr>
          <w:rFonts w:hint="eastAsia" w:ascii="宋体" w:hAnsi="宋体" w:cs="宋体"/>
          <w:sz w:val="24"/>
          <w:lang w:val="en-US" w:eastAsia="zh-CN"/>
        </w:rPr>
        <w:t>09</w:t>
      </w:r>
      <w:r>
        <w:rPr>
          <w:rFonts w:hint="eastAsia" w:ascii="宋体" w:hAnsi="宋体" w:cs="宋体"/>
          <w:sz w:val="24"/>
        </w:rPr>
        <w:t>月</w:t>
      </w:r>
      <w:r>
        <w:rPr>
          <w:rFonts w:hint="eastAsia" w:ascii="宋体" w:hAnsi="宋体" w:cs="宋体"/>
          <w:sz w:val="24"/>
          <w:lang w:val="en-US" w:eastAsia="zh-CN"/>
        </w:rPr>
        <w:t>27</w:t>
      </w:r>
      <w:r>
        <w:rPr>
          <w:rFonts w:hint="eastAsia" w:ascii="宋体" w:hAnsi="宋体" w:cs="宋体"/>
          <w:sz w:val="24"/>
        </w:rPr>
        <w:t>日至2025年</w:t>
      </w:r>
      <w:r>
        <w:rPr>
          <w:rFonts w:hint="eastAsia" w:ascii="宋体" w:hAnsi="宋体" w:cs="宋体"/>
          <w:sz w:val="24"/>
          <w:lang w:val="en-US" w:eastAsia="zh-CN"/>
        </w:rPr>
        <w:t>10</w:t>
      </w:r>
      <w:r>
        <w:rPr>
          <w:rFonts w:hint="eastAsia" w:ascii="宋体" w:hAnsi="宋体" w:cs="宋体"/>
          <w:sz w:val="24"/>
        </w:rPr>
        <w:t>月</w:t>
      </w:r>
      <w:r>
        <w:rPr>
          <w:rFonts w:hint="eastAsia" w:ascii="宋体" w:hAnsi="宋体" w:cs="宋体"/>
          <w:sz w:val="24"/>
          <w:lang w:val="en-US" w:eastAsia="zh-CN"/>
        </w:rPr>
        <w:t>10</w:t>
      </w:r>
      <w:r>
        <w:rPr>
          <w:rFonts w:hint="eastAsia" w:ascii="宋体" w:hAnsi="宋体" w:cs="宋体"/>
          <w:sz w:val="24"/>
        </w:rPr>
        <w:t>日，每天上午</w:t>
      </w:r>
      <w:r>
        <w:rPr>
          <w:rFonts w:hint="eastAsia" w:ascii="宋体" w:hAnsi="宋体" w:cs="宋体"/>
          <w:bCs/>
          <w:sz w:val="24"/>
        </w:rPr>
        <w:t>9：00</w:t>
      </w:r>
      <w:r>
        <w:rPr>
          <w:rFonts w:hint="eastAsia" w:ascii="宋体" w:hAnsi="宋体" w:cs="宋体"/>
          <w:sz w:val="24"/>
        </w:rPr>
        <w:t>至</w:t>
      </w:r>
      <w:r>
        <w:rPr>
          <w:rFonts w:hint="eastAsia" w:ascii="宋体" w:hAnsi="宋体" w:cs="宋体"/>
          <w:bCs/>
          <w:sz w:val="24"/>
        </w:rPr>
        <w:t>12：00</w:t>
      </w:r>
      <w:r>
        <w:rPr>
          <w:rFonts w:hint="eastAsia" w:ascii="宋体" w:hAnsi="宋体" w:cs="宋体"/>
          <w:sz w:val="24"/>
        </w:rPr>
        <w:t>，下午</w:t>
      </w:r>
      <w:r>
        <w:rPr>
          <w:rFonts w:hint="eastAsia" w:ascii="宋体" w:hAnsi="宋体" w:cs="宋体"/>
          <w:bCs/>
          <w:sz w:val="24"/>
        </w:rPr>
        <w:t>14：00</w:t>
      </w:r>
      <w:r>
        <w:rPr>
          <w:rFonts w:hint="eastAsia" w:ascii="宋体" w:hAnsi="宋体" w:cs="宋体"/>
          <w:sz w:val="24"/>
        </w:rPr>
        <w:t>至</w:t>
      </w:r>
      <w:r>
        <w:rPr>
          <w:rFonts w:hint="eastAsia" w:ascii="宋体" w:hAnsi="宋体" w:cs="宋体"/>
          <w:bCs/>
          <w:sz w:val="24"/>
        </w:rPr>
        <w:t>18：00</w:t>
      </w:r>
      <w:r>
        <w:rPr>
          <w:rFonts w:hint="eastAsia" w:ascii="宋体" w:hAnsi="宋体" w:cs="宋体"/>
          <w:sz w:val="24"/>
        </w:rPr>
        <w:t>（北京时间，法定节假日除外）</w:t>
      </w:r>
    </w:p>
    <w:p w14:paraId="7934732D">
      <w:pPr>
        <w:wordWrap w:val="0"/>
        <w:spacing w:line="360" w:lineRule="auto"/>
        <w:ind w:firstLine="480" w:firstLineChars="200"/>
        <w:rPr>
          <w:rFonts w:ascii="宋体" w:hAnsi="宋体" w:cs="宋体"/>
          <w:sz w:val="24"/>
        </w:rPr>
      </w:pPr>
      <w:r>
        <w:rPr>
          <w:rFonts w:hint="eastAsia" w:ascii="宋体" w:hAnsi="宋体" w:cs="宋体"/>
          <w:sz w:val="24"/>
        </w:rPr>
        <w:t>地点：深圳市深水水务咨询有限公司（链接:https://jdy.shenshuizaojia.com:8443/f/6758fdb2f9ae5eae94a793db）</w:t>
      </w:r>
    </w:p>
    <w:p w14:paraId="0BAE3A31">
      <w:pPr>
        <w:spacing w:line="360" w:lineRule="auto"/>
        <w:ind w:firstLine="480" w:firstLineChars="200"/>
        <w:rPr>
          <w:rFonts w:ascii="宋体" w:hAnsi="宋体" w:cs="宋体"/>
          <w:sz w:val="24"/>
        </w:rPr>
      </w:pPr>
      <w:r>
        <w:rPr>
          <w:rFonts w:hint="eastAsia" w:ascii="宋体" w:hAnsi="宋体" w:cs="宋体"/>
          <w:sz w:val="24"/>
        </w:rPr>
        <w:t>方式：线上报名。</w:t>
      </w:r>
    </w:p>
    <w:p w14:paraId="2E4B2E3F">
      <w:pPr>
        <w:spacing w:line="360" w:lineRule="auto"/>
        <w:ind w:firstLine="480" w:firstLineChars="200"/>
        <w:jc w:val="left"/>
        <w:rPr>
          <w:rFonts w:ascii="宋体" w:hAnsi="宋体" w:cs="宋体"/>
          <w:sz w:val="24"/>
        </w:rPr>
      </w:pPr>
      <w:r>
        <w:rPr>
          <w:rFonts w:hint="eastAsia" w:ascii="宋体" w:hAnsi="宋体" w:cs="宋体"/>
          <w:sz w:val="24"/>
        </w:rPr>
        <w:t>报名网址：https://jdy.shenshuizaojia.com:8443/f/6758fdb2f9ae5eae94a793db。</w:t>
      </w:r>
    </w:p>
    <w:p w14:paraId="39BDFC4A">
      <w:pPr>
        <w:spacing w:line="360" w:lineRule="auto"/>
        <w:ind w:firstLine="480" w:firstLineChars="200"/>
        <w:jc w:val="left"/>
        <w:rPr>
          <w:rFonts w:ascii="宋体" w:hAnsi="宋体" w:cs="宋体"/>
          <w:sz w:val="24"/>
        </w:rPr>
      </w:pPr>
      <w:r>
        <w:rPr>
          <w:rFonts w:hint="eastAsia" w:ascii="宋体" w:hAnsi="宋体" w:cs="宋体"/>
          <w:sz w:val="24"/>
        </w:rPr>
        <w:t>报名须提交：供应商的营业执照扫描件；有效的法人代表证明书扫描件、有效的授权委托书扫描件、法人身份证身份证扫描件、被授权委托人身份证扫描件、被授权委托人联系方式（电话、邮箱）。以上资料均需加盖公章。</w:t>
      </w:r>
    </w:p>
    <w:p w14:paraId="49458010">
      <w:pPr>
        <w:spacing w:line="360" w:lineRule="auto"/>
        <w:ind w:firstLine="480" w:firstLineChars="200"/>
        <w:rPr>
          <w:rFonts w:ascii="宋体" w:hAnsi="宋体" w:cs="宋体"/>
          <w:bCs/>
          <w:sz w:val="24"/>
        </w:rPr>
      </w:pPr>
      <w:r>
        <w:rPr>
          <w:rFonts w:hint="eastAsia" w:ascii="宋体" w:hAnsi="宋体" w:cs="宋体"/>
          <w:sz w:val="24"/>
        </w:rPr>
        <w:t>售价：￥500.0元，本公告包含的竞争性磋商文件售价总和</w:t>
      </w:r>
    </w:p>
    <w:p w14:paraId="4728256F">
      <w:pPr>
        <w:spacing w:line="360" w:lineRule="auto"/>
        <w:rPr>
          <w:rFonts w:ascii="宋体" w:hAnsi="宋体" w:cs="宋体"/>
          <w:b/>
          <w:sz w:val="24"/>
        </w:rPr>
      </w:pPr>
      <w:r>
        <w:rPr>
          <w:rFonts w:hint="eastAsia" w:ascii="宋体" w:hAnsi="宋体" w:cs="宋体"/>
          <w:b/>
          <w:sz w:val="24"/>
        </w:rPr>
        <w:t>四、响应文件提交</w:t>
      </w:r>
    </w:p>
    <w:p w14:paraId="2C61C14A">
      <w:pPr>
        <w:spacing w:line="360" w:lineRule="auto"/>
        <w:ind w:firstLine="480" w:firstLineChars="200"/>
        <w:rPr>
          <w:rFonts w:ascii="宋体" w:hAnsi="宋体" w:cs="宋体"/>
          <w:iCs/>
          <w:sz w:val="24"/>
        </w:rPr>
      </w:pPr>
      <w:r>
        <w:rPr>
          <w:rFonts w:hint="eastAsia" w:ascii="宋体" w:hAnsi="宋体" w:cs="宋体"/>
          <w:sz w:val="24"/>
        </w:rPr>
        <w:t>截止时间：2025</w:t>
      </w:r>
      <w:r>
        <w:rPr>
          <w:rFonts w:hint="eastAsia" w:ascii="宋体" w:hAnsi="宋体" w:cs="宋体"/>
          <w:bCs/>
          <w:sz w:val="24"/>
        </w:rPr>
        <w:t>年</w:t>
      </w:r>
      <w:r>
        <w:rPr>
          <w:rFonts w:hint="eastAsia" w:ascii="宋体" w:hAnsi="宋体" w:cs="宋体"/>
          <w:bCs/>
          <w:sz w:val="24"/>
          <w:lang w:val="en-US" w:eastAsia="zh-CN"/>
        </w:rPr>
        <w:t>10</w:t>
      </w:r>
      <w:r>
        <w:rPr>
          <w:rFonts w:hint="eastAsia" w:ascii="宋体" w:hAnsi="宋体" w:cs="宋体"/>
          <w:bCs/>
          <w:sz w:val="24"/>
        </w:rPr>
        <w:t>月</w:t>
      </w:r>
      <w:r>
        <w:rPr>
          <w:rFonts w:hint="eastAsia" w:ascii="宋体" w:hAnsi="宋体" w:cs="宋体"/>
          <w:sz w:val="24"/>
          <w:lang w:val="en-US" w:eastAsia="zh-CN"/>
        </w:rPr>
        <w:t>13</w:t>
      </w:r>
      <w:r>
        <w:rPr>
          <w:rFonts w:hint="eastAsia" w:ascii="宋体" w:hAnsi="宋体" w:cs="宋体"/>
          <w:bCs/>
          <w:sz w:val="24"/>
        </w:rPr>
        <w:t>日09点30分（北京时间）</w:t>
      </w:r>
    </w:p>
    <w:p w14:paraId="5FDCF3E2">
      <w:pPr>
        <w:spacing w:line="360" w:lineRule="auto"/>
        <w:ind w:firstLine="480" w:firstLineChars="200"/>
        <w:rPr>
          <w:rFonts w:ascii="宋体" w:hAnsi="宋体" w:cs="宋体"/>
          <w:bCs/>
          <w:sz w:val="24"/>
        </w:rPr>
      </w:pPr>
      <w:r>
        <w:rPr>
          <w:rFonts w:hint="eastAsia" w:ascii="宋体" w:hAnsi="宋体" w:cs="宋体"/>
          <w:sz w:val="24"/>
        </w:rPr>
        <w:t>地点：深圳市罗湖区清水河街道清水河社区清水河一路112号罗湖投资控股大厦裙楼401</w:t>
      </w:r>
    </w:p>
    <w:p w14:paraId="7B2D4659">
      <w:pPr>
        <w:spacing w:line="360" w:lineRule="auto"/>
        <w:rPr>
          <w:rFonts w:ascii="宋体" w:hAnsi="宋体" w:cs="宋体"/>
          <w:b/>
          <w:sz w:val="24"/>
        </w:rPr>
      </w:pPr>
      <w:r>
        <w:rPr>
          <w:rFonts w:hint="eastAsia" w:ascii="宋体" w:hAnsi="宋体" w:cs="宋体"/>
          <w:b/>
          <w:sz w:val="24"/>
        </w:rPr>
        <w:t>五、开启</w:t>
      </w:r>
    </w:p>
    <w:p w14:paraId="1FDB2B7F">
      <w:pPr>
        <w:spacing w:line="360" w:lineRule="auto"/>
        <w:ind w:firstLine="480" w:firstLineChars="200"/>
        <w:rPr>
          <w:rFonts w:ascii="宋体" w:hAnsi="宋体" w:cs="宋体"/>
          <w:bCs/>
          <w:sz w:val="24"/>
        </w:rPr>
      </w:pPr>
      <w:r>
        <w:rPr>
          <w:rFonts w:hint="eastAsia" w:ascii="宋体" w:hAnsi="宋体" w:cs="宋体"/>
          <w:sz w:val="24"/>
        </w:rPr>
        <w:t>时间：2025</w:t>
      </w:r>
      <w:r>
        <w:rPr>
          <w:rFonts w:hint="eastAsia" w:ascii="宋体" w:hAnsi="宋体" w:cs="宋体"/>
          <w:bCs/>
          <w:sz w:val="24"/>
        </w:rPr>
        <w:t>年</w:t>
      </w:r>
      <w:r>
        <w:rPr>
          <w:rFonts w:hint="eastAsia" w:ascii="宋体" w:hAnsi="宋体" w:cs="宋体"/>
          <w:bCs/>
          <w:sz w:val="24"/>
          <w:lang w:val="en-US" w:eastAsia="zh-CN"/>
        </w:rPr>
        <w:t>10</w:t>
      </w:r>
      <w:r>
        <w:rPr>
          <w:rFonts w:hint="eastAsia" w:ascii="宋体" w:hAnsi="宋体" w:cs="宋体"/>
          <w:bCs/>
          <w:sz w:val="24"/>
        </w:rPr>
        <w:t>月</w:t>
      </w:r>
      <w:r>
        <w:rPr>
          <w:rFonts w:hint="eastAsia" w:ascii="宋体" w:hAnsi="宋体" w:cs="宋体"/>
          <w:sz w:val="24"/>
          <w:lang w:val="en-US" w:eastAsia="zh-CN"/>
        </w:rPr>
        <w:t>13</w:t>
      </w:r>
      <w:r>
        <w:rPr>
          <w:rFonts w:hint="eastAsia" w:ascii="宋体" w:hAnsi="宋体" w:cs="宋体"/>
          <w:bCs/>
          <w:sz w:val="24"/>
        </w:rPr>
        <w:t>日09点30分（北京时间）</w:t>
      </w:r>
    </w:p>
    <w:p w14:paraId="218605FE">
      <w:pPr>
        <w:spacing w:line="360" w:lineRule="auto"/>
        <w:ind w:firstLine="480" w:firstLineChars="200"/>
        <w:rPr>
          <w:rFonts w:ascii="宋体" w:hAnsi="宋体" w:cs="宋体"/>
          <w:bCs/>
          <w:sz w:val="24"/>
        </w:rPr>
      </w:pPr>
      <w:r>
        <w:rPr>
          <w:rFonts w:hint="eastAsia" w:ascii="宋体" w:hAnsi="宋体" w:cs="宋体"/>
          <w:sz w:val="24"/>
        </w:rPr>
        <w:t>地点：深圳市罗湖区清水河街道清水河社区清水河一路112号罗湖投资控股大厦裙楼401</w:t>
      </w:r>
    </w:p>
    <w:p w14:paraId="1FA53BC6">
      <w:pPr>
        <w:spacing w:line="360" w:lineRule="auto"/>
        <w:rPr>
          <w:rFonts w:ascii="宋体" w:hAnsi="宋体" w:cs="宋体"/>
          <w:b/>
          <w:sz w:val="24"/>
        </w:rPr>
      </w:pPr>
      <w:r>
        <w:rPr>
          <w:rFonts w:hint="eastAsia" w:ascii="宋体" w:hAnsi="宋体" w:cs="宋体"/>
          <w:b/>
          <w:sz w:val="24"/>
        </w:rPr>
        <w:t>六、公告期限</w:t>
      </w:r>
    </w:p>
    <w:p w14:paraId="1534B800">
      <w:pPr>
        <w:spacing w:line="360" w:lineRule="auto"/>
        <w:ind w:firstLine="480" w:firstLineChars="200"/>
        <w:rPr>
          <w:rFonts w:ascii="宋体" w:hAnsi="宋体" w:cs="宋体"/>
          <w:kern w:val="0"/>
          <w:sz w:val="24"/>
        </w:rPr>
      </w:pPr>
      <w:r>
        <w:rPr>
          <w:rFonts w:hint="eastAsia" w:ascii="宋体" w:hAnsi="宋体" w:cs="宋体"/>
          <w:kern w:val="0"/>
          <w:sz w:val="24"/>
        </w:rPr>
        <w:t>自本公告发布之日起3个工作日。</w:t>
      </w:r>
    </w:p>
    <w:p w14:paraId="7982016E">
      <w:pPr>
        <w:spacing w:line="360" w:lineRule="auto"/>
        <w:rPr>
          <w:rFonts w:ascii="宋体" w:hAnsi="宋体" w:cs="宋体"/>
          <w:b/>
          <w:sz w:val="24"/>
        </w:rPr>
      </w:pPr>
      <w:r>
        <w:rPr>
          <w:rFonts w:hint="eastAsia" w:ascii="宋体" w:hAnsi="宋体" w:cs="宋体"/>
          <w:b/>
          <w:sz w:val="24"/>
        </w:rPr>
        <w:t>七、</w:t>
      </w:r>
      <w:bookmarkStart w:id="10" w:name="_Hlk69303228"/>
      <w:r>
        <w:rPr>
          <w:rFonts w:hint="eastAsia" w:ascii="宋体" w:hAnsi="宋体" w:cs="宋体"/>
          <w:b/>
          <w:sz w:val="24"/>
        </w:rPr>
        <w:t>其他补充事宜</w:t>
      </w:r>
      <w:bookmarkEnd w:id="10"/>
    </w:p>
    <w:p w14:paraId="7F6B1F96">
      <w:pPr>
        <w:spacing w:line="360" w:lineRule="auto"/>
        <w:ind w:firstLine="480" w:firstLineChars="200"/>
        <w:rPr>
          <w:rFonts w:ascii="宋体" w:hAnsi="宋体" w:cs="宋体"/>
          <w:kern w:val="0"/>
          <w:sz w:val="24"/>
        </w:rPr>
      </w:pPr>
      <w:r>
        <w:rPr>
          <w:rFonts w:hint="eastAsia" w:ascii="宋体" w:hAnsi="宋体" w:cs="宋体"/>
          <w:kern w:val="0"/>
          <w:sz w:val="24"/>
        </w:rPr>
        <w:t>1.答疑事项：</w:t>
      </w:r>
    </w:p>
    <w:p w14:paraId="0B02ED8F">
      <w:pPr>
        <w:spacing w:line="360" w:lineRule="auto"/>
        <w:ind w:firstLine="480" w:firstLineChars="200"/>
        <w:rPr>
          <w:rFonts w:ascii="宋体" w:hAnsi="宋体" w:cs="宋体"/>
          <w:kern w:val="0"/>
          <w:sz w:val="24"/>
        </w:rPr>
      </w:pPr>
      <w:r>
        <w:rPr>
          <w:rFonts w:hint="eastAsia" w:ascii="宋体" w:hAnsi="宋体" w:cs="宋体"/>
          <w:kern w:val="0"/>
          <w:sz w:val="24"/>
        </w:rPr>
        <w:t>1.1本项目实行网下纸质答疑，凡对采购文件有任何疑问的（包括但不限于认为采购文件的技术指标或参数存在排他性或歧视性条款），请供应商在获取采购文件或者采购文件公告期限届满之日起7个工作日内一次性提出针对同一采购程序环节的采购文件提出质疑，根据《中华人民共和国政府采购法》第六章、《中华人民共和国政府采购法实施条例》的有关质疑的指引及要求填写质疑函件，并将质疑函件以及相关质疑内容的证明材料原件送达深圳市深水水务咨询有限公司，逾期不受理。</w:t>
      </w:r>
    </w:p>
    <w:p w14:paraId="2F93C2B4">
      <w:pPr>
        <w:spacing w:line="360" w:lineRule="auto"/>
        <w:ind w:firstLine="480" w:firstLineChars="200"/>
        <w:rPr>
          <w:rFonts w:ascii="宋体" w:hAnsi="宋体" w:cs="宋体"/>
          <w:kern w:val="0"/>
          <w:sz w:val="24"/>
        </w:rPr>
      </w:pPr>
      <w:r>
        <w:rPr>
          <w:rFonts w:hint="eastAsia" w:ascii="宋体" w:hAnsi="宋体" w:cs="宋体"/>
          <w:kern w:val="0"/>
          <w:sz w:val="24"/>
        </w:rPr>
        <w:t>1.2供应商有义务在采购活动期间浏览本公告“七、其他补充事宜”中的相关网站，采购人在上述网站上公布的与本次采购项目有关的信息视为已送达各供应商。采购代理机构将答疑情况或相关的补充公告（说明）在相关网站公布，请供应商及时关注本项目的答疑情况。供应商因疏忽，未及时登录相关网站了解相关的答疑情况及补充说明，产生的不利后果由供应商自行承担。</w:t>
      </w:r>
    </w:p>
    <w:p w14:paraId="328C5109">
      <w:pPr>
        <w:spacing w:line="360" w:lineRule="auto"/>
        <w:ind w:firstLine="480" w:firstLineChars="200"/>
        <w:rPr>
          <w:rFonts w:ascii="宋体" w:hAnsi="宋体" w:cs="宋体"/>
          <w:kern w:val="0"/>
          <w:sz w:val="24"/>
        </w:rPr>
      </w:pPr>
      <w:r>
        <w:rPr>
          <w:rFonts w:hint="eastAsia" w:ascii="宋体" w:hAnsi="宋体" w:cs="宋体"/>
          <w:kern w:val="0"/>
          <w:sz w:val="24"/>
        </w:rPr>
        <w:t>2.信息发布平台：</w:t>
      </w:r>
    </w:p>
    <w:p w14:paraId="3E57F6E4">
      <w:pPr>
        <w:spacing w:line="360" w:lineRule="auto"/>
        <w:ind w:firstLine="480" w:firstLineChars="200"/>
        <w:rPr>
          <w:rFonts w:ascii="宋体" w:hAnsi="宋体" w:cs="宋体"/>
          <w:kern w:val="0"/>
          <w:sz w:val="24"/>
        </w:rPr>
      </w:pPr>
      <w:r>
        <w:rPr>
          <w:rFonts w:hint="eastAsia" w:ascii="宋体" w:hAnsi="宋体" w:cs="宋体"/>
          <w:kern w:val="0"/>
          <w:sz w:val="24"/>
        </w:rPr>
        <w:t>深圳海关门户网（http://shenzhen.customs.gov.cn）；</w:t>
      </w:r>
    </w:p>
    <w:p w14:paraId="1F54C002">
      <w:pPr>
        <w:spacing w:line="360" w:lineRule="auto"/>
        <w:ind w:firstLine="480" w:firstLineChars="200"/>
        <w:rPr>
          <w:rFonts w:ascii="宋体" w:hAnsi="宋体" w:cs="宋体"/>
          <w:kern w:val="0"/>
          <w:sz w:val="24"/>
        </w:rPr>
      </w:pPr>
      <w:r>
        <w:rPr>
          <w:rFonts w:hint="eastAsia" w:ascii="宋体" w:hAnsi="宋体" w:cs="宋体"/>
          <w:kern w:val="0"/>
          <w:sz w:val="24"/>
        </w:rPr>
        <w:t>中国政府采购网（http://www.ccgp.gov.cn）；</w:t>
      </w:r>
    </w:p>
    <w:p w14:paraId="63D7368F">
      <w:pPr>
        <w:spacing w:line="360" w:lineRule="auto"/>
        <w:ind w:firstLine="480" w:firstLineChars="200"/>
        <w:rPr>
          <w:rFonts w:ascii="宋体" w:hAnsi="宋体" w:cs="宋体"/>
          <w:kern w:val="0"/>
          <w:sz w:val="24"/>
        </w:rPr>
      </w:pPr>
      <w:r>
        <w:rPr>
          <w:rFonts w:hint="eastAsia" w:ascii="宋体" w:hAnsi="宋体" w:cs="宋体"/>
          <w:kern w:val="0"/>
          <w:sz w:val="24"/>
        </w:rPr>
        <w:t>深圳市深水水务咨询有限公司官网（http://www.szsszx.com/）。</w:t>
      </w:r>
    </w:p>
    <w:p w14:paraId="3703B63C">
      <w:pPr>
        <w:spacing w:line="360" w:lineRule="auto"/>
        <w:ind w:firstLine="480" w:firstLineChars="200"/>
        <w:rPr>
          <w:rFonts w:ascii="宋体" w:hAnsi="宋体" w:cs="宋体"/>
          <w:kern w:val="0"/>
          <w:sz w:val="24"/>
        </w:rPr>
      </w:pPr>
      <w:r>
        <w:rPr>
          <w:rFonts w:hint="eastAsia" w:ascii="宋体" w:hAnsi="宋体" w:cs="宋体"/>
          <w:kern w:val="0"/>
          <w:sz w:val="24"/>
        </w:rPr>
        <w:t>3.响应文件须由供应商授权代表/法定代表人现场递交并磋商。</w:t>
      </w:r>
    </w:p>
    <w:p w14:paraId="06F8AF71">
      <w:pPr>
        <w:spacing w:line="360" w:lineRule="auto"/>
        <w:rPr>
          <w:rFonts w:ascii="宋体" w:hAnsi="宋体" w:cs="宋体"/>
          <w:b/>
          <w:sz w:val="24"/>
        </w:rPr>
      </w:pPr>
      <w:r>
        <w:rPr>
          <w:rFonts w:hint="eastAsia" w:ascii="宋体" w:hAnsi="宋体" w:cs="宋体"/>
          <w:b/>
          <w:sz w:val="24"/>
        </w:rPr>
        <w:t>八、凡对本次采购提出询问，请按以下方式联系。</w:t>
      </w:r>
    </w:p>
    <w:p w14:paraId="71EDB6CF">
      <w:pPr>
        <w:spacing w:line="360" w:lineRule="auto"/>
        <w:ind w:firstLine="480" w:firstLineChars="200"/>
        <w:rPr>
          <w:rFonts w:ascii="宋体" w:hAnsi="宋体" w:cs="宋体"/>
          <w:bCs/>
          <w:sz w:val="24"/>
        </w:rPr>
      </w:pPr>
      <w:bookmarkStart w:id="11" w:name="_Toc28359096"/>
      <w:bookmarkStart w:id="12" w:name="_Toc35393806"/>
      <w:bookmarkStart w:id="13" w:name="_Toc35393637"/>
      <w:bookmarkStart w:id="14" w:name="_Toc28359019"/>
      <w:r>
        <w:rPr>
          <w:rFonts w:hint="eastAsia" w:ascii="宋体" w:hAnsi="宋体" w:cs="宋体"/>
          <w:bCs/>
          <w:sz w:val="24"/>
        </w:rPr>
        <w:t>1.采购人信息</w:t>
      </w:r>
      <w:bookmarkEnd w:id="11"/>
      <w:bookmarkEnd w:id="12"/>
      <w:bookmarkEnd w:id="13"/>
      <w:bookmarkEnd w:id="14"/>
    </w:p>
    <w:p w14:paraId="5ED2E859">
      <w:pPr>
        <w:spacing w:line="360" w:lineRule="auto"/>
        <w:ind w:firstLine="480" w:firstLineChars="200"/>
        <w:rPr>
          <w:rFonts w:ascii="宋体" w:hAnsi="宋体" w:cs="宋体"/>
          <w:sz w:val="24"/>
        </w:rPr>
      </w:pPr>
      <w:r>
        <w:rPr>
          <w:rFonts w:hint="eastAsia" w:ascii="宋体" w:hAnsi="宋体" w:cs="宋体"/>
          <w:sz w:val="24"/>
        </w:rPr>
        <w:t>名称：中华人民共和国皇岗海关</w:t>
      </w:r>
    </w:p>
    <w:p w14:paraId="0688B03B">
      <w:pPr>
        <w:spacing w:line="360" w:lineRule="auto"/>
        <w:ind w:firstLine="480" w:firstLineChars="200"/>
        <w:rPr>
          <w:rFonts w:ascii="宋体" w:hAnsi="宋体" w:cs="宋体"/>
          <w:sz w:val="24"/>
        </w:rPr>
      </w:pPr>
      <w:r>
        <w:rPr>
          <w:rFonts w:hint="eastAsia" w:ascii="宋体" w:hAnsi="宋体" w:cs="宋体"/>
          <w:sz w:val="24"/>
        </w:rPr>
        <w:t>地址：深圳市福田区福田南路22号皇岗海关办公大楼</w:t>
      </w:r>
    </w:p>
    <w:p w14:paraId="7CCD7787">
      <w:pPr>
        <w:spacing w:line="360" w:lineRule="auto"/>
        <w:ind w:firstLine="480" w:firstLineChars="200"/>
        <w:rPr>
          <w:rFonts w:ascii="宋体" w:hAnsi="宋体" w:cs="宋体"/>
          <w:sz w:val="24"/>
        </w:rPr>
      </w:pPr>
      <w:r>
        <w:rPr>
          <w:rFonts w:hint="eastAsia" w:ascii="宋体" w:hAnsi="宋体" w:cs="宋体"/>
          <w:sz w:val="24"/>
        </w:rPr>
        <w:t>联系方式：陈先生0755-8439</w:t>
      </w:r>
      <w:bookmarkStart w:id="15" w:name="_Toc35393807"/>
      <w:bookmarkStart w:id="16" w:name="_Toc28359020"/>
      <w:bookmarkStart w:id="17" w:name="_Toc28359097"/>
      <w:bookmarkStart w:id="18" w:name="_Toc35393638"/>
      <w:r>
        <w:rPr>
          <w:rFonts w:hint="eastAsia" w:ascii="宋体" w:hAnsi="宋体" w:cs="宋体"/>
          <w:sz w:val="24"/>
        </w:rPr>
        <w:t>6619</w:t>
      </w:r>
    </w:p>
    <w:p w14:paraId="3822E5CC">
      <w:pPr>
        <w:spacing w:line="360" w:lineRule="auto"/>
        <w:ind w:firstLine="480" w:firstLineChars="200"/>
        <w:rPr>
          <w:rFonts w:ascii="宋体" w:hAnsi="宋体" w:cs="宋体"/>
          <w:bCs/>
          <w:sz w:val="24"/>
        </w:rPr>
      </w:pPr>
      <w:r>
        <w:rPr>
          <w:rFonts w:hint="eastAsia" w:ascii="宋体" w:hAnsi="宋体" w:cs="宋体"/>
          <w:bCs/>
          <w:sz w:val="24"/>
        </w:rPr>
        <w:t>2.采购代理机构信息</w:t>
      </w:r>
      <w:bookmarkEnd w:id="15"/>
      <w:bookmarkEnd w:id="16"/>
      <w:bookmarkEnd w:id="17"/>
      <w:bookmarkEnd w:id="18"/>
    </w:p>
    <w:p w14:paraId="099D9D6F">
      <w:pPr>
        <w:spacing w:line="360" w:lineRule="auto"/>
        <w:ind w:firstLine="480" w:firstLineChars="200"/>
        <w:rPr>
          <w:rFonts w:ascii="宋体" w:hAnsi="宋体" w:cs="宋体"/>
          <w:sz w:val="24"/>
        </w:rPr>
      </w:pPr>
      <w:r>
        <w:rPr>
          <w:rFonts w:hint="eastAsia" w:ascii="宋体" w:hAnsi="宋体" w:cs="宋体"/>
          <w:sz w:val="24"/>
        </w:rPr>
        <w:t>名称：深圳市深水水务咨询有限公司</w:t>
      </w:r>
    </w:p>
    <w:p w14:paraId="2AAB2234">
      <w:pPr>
        <w:spacing w:line="360" w:lineRule="auto"/>
        <w:ind w:firstLine="480" w:firstLineChars="200"/>
        <w:rPr>
          <w:rFonts w:ascii="宋体" w:hAnsi="宋体" w:cs="宋体"/>
          <w:sz w:val="24"/>
        </w:rPr>
      </w:pPr>
      <w:r>
        <w:rPr>
          <w:rFonts w:hint="eastAsia" w:ascii="宋体" w:hAnsi="宋体" w:cs="宋体"/>
          <w:sz w:val="24"/>
        </w:rPr>
        <w:t>地址：深圳市罗湖区清水河街道清水河社区清水河一路112号罗湖投资控股大厦裙楼401</w:t>
      </w:r>
    </w:p>
    <w:p w14:paraId="4FED57CE">
      <w:pPr>
        <w:spacing w:line="360" w:lineRule="auto"/>
        <w:ind w:firstLine="480" w:firstLineChars="200"/>
        <w:rPr>
          <w:rFonts w:ascii="宋体" w:hAnsi="宋体" w:cs="宋体"/>
          <w:sz w:val="24"/>
        </w:rPr>
      </w:pPr>
      <w:r>
        <w:rPr>
          <w:rFonts w:hint="eastAsia" w:ascii="宋体" w:hAnsi="宋体" w:cs="宋体"/>
          <w:sz w:val="24"/>
        </w:rPr>
        <w:t>联系方式：庄晓琴13688812350/Email：498174886@qq.com</w:t>
      </w:r>
    </w:p>
    <w:p w14:paraId="0449EFF5">
      <w:pPr>
        <w:spacing w:line="360" w:lineRule="auto"/>
        <w:ind w:firstLine="480" w:firstLineChars="200"/>
        <w:rPr>
          <w:rFonts w:ascii="宋体" w:hAnsi="宋体" w:cs="宋体"/>
          <w:bCs/>
          <w:sz w:val="24"/>
        </w:rPr>
      </w:pPr>
      <w:r>
        <w:rPr>
          <w:rFonts w:hint="eastAsia" w:ascii="宋体" w:hAnsi="宋体" w:cs="宋体"/>
          <w:bCs/>
          <w:sz w:val="24"/>
        </w:rPr>
        <w:t>3.项目联系方式</w:t>
      </w:r>
    </w:p>
    <w:p w14:paraId="20E457C8">
      <w:pPr>
        <w:spacing w:line="360" w:lineRule="auto"/>
        <w:ind w:firstLine="480" w:firstLineChars="200"/>
        <w:rPr>
          <w:rFonts w:ascii="宋体" w:hAnsi="宋体" w:cs="宋体"/>
          <w:sz w:val="24"/>
        </w:rPr>
      </w:pPr>
      <w:r>
        <w:rPr>
          <w:rFonts w:hint="eastAsia" w:ascii="宋体" w:hAnsi="宋体" w:cs="宋体"/>
          <w:sz w:val="24"/>
        </w:rPr>
        <w:t>项目联系人：庄晓琴、麦舒群</w:t>
      </w:r>
    </w:p>
    <w:p w14:paraId="6DAE0355">
      <w:pPr>
        <w:spacing w:line="360" w:lineRule="auto"/>
        <w:ind w:firstLine="480" w:firstLineChars="200"/>
        <w:rPr>
          <w:rFonts w:ascii="宋体" w:hAnsi="宋体" w:cs="宋体"/>
          <w:sz w:val="24"/>
        </w:rPr>
      </w:pPr>
      <w:r>
        <w:rPr>
          <w:rFonts w:hint="eastAsia" w:ascii="宋体" w:hAnsi="宋体" w:cs="宋体"/>
          <w:sz w:val="24"/>
        </w:rPr>
        <w:t>电话：13688812350</w:t>
      </w:r>
    </w:p>
    <w:p w14:paraId="5AB2F232">
      <w:pPr>
        <w:pStyle w:val="155"/>
        <w:ind w:right="240" w:firstLineChars="0"/>
        <w:jc w:val="right"/>
        <w:rPr>
          <w:rFonts w:ascii="宋体" w:hAnsi="宋体"/>
          <w:sz w:val="24"/>
          <w:szCs w:val="24"/>
        </w:rPr>
      </w:pPr>
    </w:p>
    <w:p w14:paraId="674EB8E3">
      <w:pPr>
        <w:pStyle w:val="155"/>
        <w:ind w:firstLineChars="0"/>
        <w:jc w:val="right"/>
        <w:rPr>
          <w:rFonts w:ascii="宋体" w:hAnsi="宋体"/>
          <w:sz w:val="24"/>
          <w:szCs w:val="24"/>
        </w:rPr>
      </w:pPr>
      <w:r>
        <w:rPr>
          <w:rFonts w:hint="eastAsia" w:ascii="宋体" w:hAnsi="宋体"/>
          <w:sz w:val="24"/>
          <w:szCs w:val="24"/>
        </w:rPr>
        <w:t>深圳市深水水务咨询有限公司</w:t>
      </w:r>
    </w:p>
    <w:p w14:paraId="4A86A630">
      <w:pPr>
        <w:pStyle w:val="155"/>
        <w:ind w:firstLineChars="0"/>
        <w:jc w:val="right"/>
        <w:rPr>
          <w:rStyle w:val="95"/>
          <w:rFonts w:ascii="宋体" w:hAnsi="宋体"/>
          <w:b w:val="0"/>
          <w:bCs w:val="0"/>
          <w:kern w:val="2"/>
          <w:sz w:val="24"/>
          <w:szCs w:val="24"/>
        </w:rPr>
      </w:pPr>
      <w:bookmarkStart w:id="19" w:name="_Hlk70253917"/>
      <w:r>
        <w:rPr>
          <w:rFonts w:hint="eastAsia" w:ascii="宋体" w:hAnsi="宋体"/>
          <w:sz w:val="24"/>
          <w:szCs w:val="24"/>
        </w:rPr>
        <w:t>2025年</w:t>
      </w:r>
      <w:r>
        <w:rPr>
          <w:rFonts w:hint="eastAsia" w:ascii="宋体" w:hAnsi="宋体"/>
          <w:sz w:val="24"/>
          <w:lang w:val="en-US" w:eastAsia="zh-CN"/>
        </w:rPr>
        <w:t>09</w:t>
      </w:r>
      <w:r>
        <w:rPr>
          <w:rFonts w:hint="eastAsia" w:ascii="宋体" w:hAnsi="宋体"/>
          <w:sz w:val="24"/>
          <w:szCs w:val="24"/>
        </w:rPr>
        <w:t>月</w:t>
      </w:r>
      <w:r>
        <w:rPr>
          <w:rFonts w:hint="eastAsia" w:ascii="宋体" w:hAnsi="宋体"/>
          <w:sz w:val="24"/>
          <w:lang w:val="en-US" w:eastAsia="zh-CN"/>
        </w:rPr>
        <w:t>26</w:t>
      </w:r>
      <w:r>
        <w:rPr>
          <w:rFonts w:hint="eastAsia" w:ascii="宋体" w:hAnsi="宋体"/>
          <w:sz w:val="24"/>
          <w:szCs w:val="24"/>
        </w:rPr>
        <w:t>日</w:t>
      </w:r>
      <w:bookmarkEnd w:id="19"/>
    </w:p>
    <w:p w14:paraId="090B548A">
      <w:pPr>
        <w:widowControl/>
        <w:jc w:val="left"/>
        <w:rPr>
          <w:rStyle w:val="95"/>
          <w:rFonts w:ascii="宋体" w:hAnsi="宋体" w:cs="宋体"/>
          <w:sz w:val="28"/>
          <w:szCs w:val="28"/>
        </w:rPr>
      </w:pPr>
      <w:r>
        <w:br w:type="page"/>
      </w:r>
    </w:p>
    <w:p w14:paraId="5D878E89">
      <w:pPr>
        <w:jc w:val="center"/>
        <w:outlineLvl w:val="0"/>
        <w:rPr>
          <w:rFonts w:ascii="宋体" w:hAnsi="宋体" w:cs="宋体"/>
          <w:b/>
          <w:sz w:val="32"/>
          <w:szCs w:val="32"/>
        </w:rPr>
      </w:pPr>
      <w:bookmarkStart w:id="20" w:name="_Toc27440"/>
      <w:r>
        <w:rPr>
          <w:rStyle w:val="95"/>
          <w:rFonts w:hint="eastAsia" w:ascii="宋体" w:hAnsi="宋体" w:cs="宋体"/>
          <w:sz w:val="28"/>
          <w:szCs w:val="28"/>
        </w:rPr>
        <w:t>第二章</w:t>
      </w:r>
      <w:r>
        <w:rPr>
          <w:rStyle w:val="95"/>
          <w:rFonts w:ascii="宋体" w:hAnsi="宋体" w:cs="宋体"/>
          <w:sz w:val="28"/>
          <w:szCs w:val="28"/>
        </w:rPr>
        <w:t xml:space="preserve"> </w:t>
      </w:r>
      <w:r>
        <w:rPr>
          <w:rFonts w:ascii="宋体" w:hAnsi="宋体" w:cs="宋体"/>
          <w:b/>
          <w:bCs/>
          <w:kern w:val="44"/>
          <w:sz w:val="28"/>
          <w:szCs w:val="28"/>
        </w:rPr>
        <w:t>竞争性磋商</w:t>
      </w:r>
      <w:r>
        <w:rPr>
          <w:rStyle w:val="95"/>
          <w:rFonts w:hint="eastAsia" w:ascii="宋体" w:hAnsi="宋体" w:cs="宋体"/>
          <w:sz w:val="28"/>
          <w:szCs w:val="28"/>
        </w:rPr>
        <w:t>须知</w:t>
      </w:r>
      <w:bookmarkEnd w:id="20"/>
    </w:p>
    <w:p w14:paraId="6196BE35">
      <w:pPr>
        <w:spacing w:beforeLines="50" w:afterLines="100"/>
        <w:jc w:val="center"/>
        <w:outlineLvl w:val="1"/>
        <w:rPr>
          <w:rStyle w:val="95"/>
          <w:rFonts w:ascii="宋体" w:hAnsi="宋体" w:cs="宋体"/>
          <w:sz w:val="24"/>
          <w:szCs w:val="24"/>
        </w:rPr>
      </w:pPr>
      <w:bookmarkStart w:id="21" w:name="_Toc13553"/>
      <w:bookmarkStart w:id="22" w:name="_Toc31236"/>
      <w:bookmarkStart w:id="23" w:name="_Toc28026"/>
      <w:r>
        <w:rPr>
          <w:rFonts w:ascii="宋体" w:hAnsi="宋体" w:cs="宋体"/>
          <w:b/>
          <w:bCs/>
          <w:sz w:val="24"/>
        </w:rPr>
        <w:t>竞争性磋商</w:t>
      </w:r>
      <w:r>
        <w:rPr>
          <w:rFonts w:hint="eastAsia" w:ascii="宋体" w:hAnsi="宋体" w:cs="宋体"/>
          <w:b/>
          <w:bCs/>
          <w:sz w:val="24"/>
        </w:rPr>
        <w:t>须知前附表</w:t>
      </w:r>
      <w:bookmarkEnd w:id="21"/>
      <w:bookmarkEnd w:id="22"/>
      <w:bookmarkEnd w:id="23"/>
    </w:p>
    <w:tbl>
      <w:tblPr>
        <w:tblStyle w:val="50"/>
        <w:tblW w:w="92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022"/>
        <w:gridCol w:w="6216"/>
      </w:tblGrid>
      <w:tr w14:paraId="399B8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blHeader/>
          <w:jc w:val="center"/>
        </w:trPr>
        <w:tc>
          <w:tcPr>
            <w:tcW w:w="993" w:type="dxa"/>
            <w:tcBorders>
              <w:top w:val="single" w:color="auto" w:sz="4" w:space="0"/>
              <w:left w:val="single" w:color="auto" w:sz="4" w:space="0"/>
              <w:bottom w:val="single" w:color="auto" w:sz="4" w:space="0"/>
              <w:right w:val="single" w:color="auto" w:sz="4" w:space="0"/>
            </w:tcBorders>
            <w:vAlign w:val="center"/>
          </w:tcPr>
          <w:p w14:paraId="59892C93">
            <w:pPr>
              <w:jc w:val="center"/>
              <w:rPr>
                <w:rFonts w:ascii="宋体" w:hAnsi="宋体" w:cs="宋体"/>
                <w:bCs/>
                <w:szCs w:val="21"/>
              </w:rPr>
            </w:pPr>
            <w:r>
              <w:rPr>
                <w:rFonts w:hint="eastAsia" w:ascii="宋体" w:hAnsi="宋体" w:cs="宋体"/>
                <w:bCs/>
                <w:szCs w:val="21"/>
              </w:rPr>
              <w:t>条款号</w:t>
            </w:r>
          </w:p>
        </w:tc>
        <w:tc>
          <w:tcPr>
            <w:tcW w:w="2022" w:type="dxa"/>
            <w:tcBorders>
              <w:top w:val="single" w:color="auto" w:sz="4" w:space="0"/>
              <w:left w:val="single" w:color="auto" w:sz="4" w:space="0"/>
              <w:bottom w:val="single" w:color="auto" w:sz="4" w:space="0"/>
              <w:right w:val="single" w:color="auto" w:sz="4" w:space="0"/>
            </w:tcBorders>
            <w:vAlign w:val="center"/>
          </w:tcPr>
          <w:p w14:paraId="0AA2175A">
            <w:pPr>
              <w:jc w:val="center"/>
              <w:rPr>
                <w:rFonts w:ascii="宋体" w:hAnsi="宋体" w:cs="宋体"/>
                <w:bCs/>
                <w:szCs w:val="21"/>
              </w:rPr>
            </w:pPr>
            <w:r>
              <w:rPr>
                <w:rFonts w:hint="eastAsia" w:ascii="宋体" w:hAnsi="宋体" w:cs="宋体"/>
                <w:bCs/>
                <w:szCs w:val="21"/>
              </w:rPr>
              <w:t>条款名称</w:t>
            </w:r>
          </w:p>
        </w:tc>
        <w:tc>
          <w:tcPr>
            <w:tcW w:w="6216" w:type="dxa"/>
            <w:tcBorders>
              <w:top w:val="single" w:color="auto" w:sz="4" w:space="0"/>
              <w:left w:val="single" w:color="auto" w:sz="4" w:space="0"/>
              <w:bottom w:val="single" w:color="auto" w:sz="4" w:space="0"/>
              <w:right w:val="single" w:color="auto" w:sz="4" w:space="0"/>
            </w:tcBorders>
            <w:vAlign w:val="center"/>
          </w:tcPr>
          <w:p w14:paraId="53BE65A3">
            <w:pPr>
              <w:jc w:val="center"/>
              <w:rPr>
                <w:rFonts w:ascii="宋体" w:hAnsi="宋体" w:cs="宋体"/>
                <w:bCs/>
                <w:szCs w:val="21"/>
              </w:rPr>
            </w:pPr>
            <w:r>
              <w:rPr>
                <w:rFonts w:hint="eastAsia" w:ascii="宋体" w:hAnsi="宋体" w:cs="宋体"/>
                <w:bCs/>
                <w:szCs w:val="21"/>
              </w:rPr>
              <w:t>编列内容</w:t>
            </w:r>
          </w:p>
        </w:tc>
      </w:tr>
      <w:tr w14:paraId="62F88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FD035CE">
            <w:pPr>
              <w:jc w:val="center"/>
              <w:rPr>
                <w:rFonts w:ascii="宋体" w:hAnsi="宋体" w:cs="宋体"/>
                <w:bCs/>
                <w:szCs w:val="21"/>
              </w:rPr>
            </w:pPr>
            <w:r>
              <w:rPr>
                <w:rFonts w:hint="eastAsia" w:ascii="宋体" w:hAnsi="宋体" w:cs="宋体"/>
                <w:bCs/>
                <w:szCs w:val="21"/>
              </w:rPr>
              <w:t>1.1.2</w:t>
            </w:r>
          </w:p>
        </w:tc>
        <w:tc>
          <w:tcPr>
            <w:tcW w:w="2022" w:type="dxa"/>
            <w:tcBorders>
              <w:top w:val="single" w:color="auto" w:sz="4" w:space="0"/>
              <w:left w:val="single" w:color="auto" w:sz="4" w:space="0"/>
              <w:bottom w:val="single" w:color="auto" w:sz="4" w:space="0"/>
              <w:right w:val="single" w:color="auto" w:sz="4" w:space="0"/>
            </w:tcBorders>
            <w:vAlign w:val="center"/>
          </w:tcPr>
          <w:p w14:paraId="202CF13F">
            <w:pPr>
              <w:jc w:val="center"/>
              <w:rPr>
                <w:rFonts w:ascii="宋体" w:hAnsi="宋体" w:cs="宋体"/>
                <w:bCs/>
                <w:szCs w:val="21"/>
              </w:rPr>
            </w:pPr>
            <w:r>
              <w:rPr>
                <w:rFonts w:hint="eastAsia" w:ascii="宋体" w:hAnsi="宋体" w:cs="宋体"/>
                <w:bCs/>
                <w:szCs w:val="21"/>
              </w:rPr>
              <w:t>采购人</w:t>
            </w:r>
          </w:p>
        </w:tc>
        <w:tc>
          <w:tcPr>
            <w:tcW w:w="6216" w:type="dxa"/>
            <w:tcBorders>
              <w:top w:val="single" w:color="auto" w:sz="4" w:space="0"/>
              <w:left w:val="single" w:color="auto" w:sz="4" w:space="0"/>
              <w:bottom w:val="single" w:color="auto" w:sz="4" w:space="0"/>
              <w:right w:val="single" w:color="auto" w:sz="4" w:space="0"/>
            </w:tcBorders>
            <w:vAlign w:val="center"/>
          </w:tcPr>
          <w:p w14:paraId="66BD341F">
            <w:pPr>
              <w:rPr>
                <w:rFonts w:ascii="宋体" w:hAnsi="宋体" w:cs="宋体"/>
                <w:szCs w:val="21"/>
              </w:rPr>
            </w:pPr>
            <w:r>
              <w:rPr>
                <w:rFonts w:hint="eastAsia" w:ascii="宋体" w:hAnsi="宋体" w:cs="宋体"/>
                <w:szCs w:val="21"/>
              </w:rPr>
              <w:t>名称：中华人民共和国皇岗海关</w:t>
            </w:r>
          </w:p>
          <w:p w14:paraId="7BD3EF47">
            <w:pPr>
              <w:rPr>
                <w:rFonts w:ascii="宋体" w:hAnsi="宋体" w:cs="宋体"/>
                <w:szCs w:val="21"/>
              </w:rPr>
            </w:pPr>
            <w:r>
              <w:rPr>
                <w:rFonts w:hint="eastAsia" w:ascii="宋体" w:hAnsi="宋体" w:cs="宋体"/>
                <w:szCs w:val="21"/>
              </w:rPr>
              <w:t>地址：深圳市福田区福田南路22号皇岗海关办公大楼</w:t>
            </w:r>
          </w:p>
          <w:p w14:paraId="07D7365A">
            <w:pPr>
              <w:rPr>
                <w:rFonts w:ascii="宋体" w:hAnsi="宋体" w:cs="宋体"/>
                <w:szCs w:val="21"/>
              </w:rPr>
            </w:pPr>
            <w:r>
              <w:rPr>
                <w:rFonts w:hint="eastAsia" w:ascii="宋体" w:hAnsi="宋体" w:cs="宋体"/>
                <w:szCs w:val="21"/>
              </w:rPr>
              <w:t>联系方式：陈工0755-84396619</w:t>
            </w:r>
          </w:p>
        </w:tc>
      </w:tr>
      <w:tr w14:paraId="2937D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E7EF0F7">
            <w:pPr>
              <w:jc w:val="center"/>
              <w:rPr>
                <w:rFonts w:ascii="宋体" w:hAnsi="宋体" w:cs="宋体"/>
                <w:bCs/>
                <w:szCs w:val="21"/>
              </w:rPr>
            </w:pPr>
            <w:r>
              <w:rPr>
                <w:rFonts w:hint="eastAsia" w:ascii="宋体" w:hAnsi="宋体" w:cs="宋体"/>
                <w:bCs/>
                <w:szCs w:val="21"/>
              </w:rPr>
              <w:t>1.1.3</w:t>
            </w:r>
          </w:p>
        </w:tc>
        <w:tc>
          <w:tcPr>
            <w:tcW w:w="2022" w:type="dxa"/>
            <w:tcBorders>
              <w:top w:val="single" w:color="auto" w:sz="4" w:space="0"/>
              <w:left w:val="single" w:color="auto" w:sz="4" w:space="0"/>
              <w:bottom w:val="single" w:color="auto" w:sz="4" w:space="0"/>
              <w:right w:val="single" w:color="auto" w:sz="4" w:space="0"/>
            </w:tcBorders>
            <w:vAlign w:val="center"/>
          </w:tcPr>
          <w:p w14:paraId="326E4A10">
            <w:pPr>
              <w:jc w:val="center"/>
              <w:rPr>
                <w:rFonts w:ascii="宋体" w:hAnsi="宋体" w:cs="宋体"/>
                <w:bCs/>
                <w:szCs w:val="21"/>
              </w:rPr>
            </w:pPr>
            <w:r>
              <w:rPr>
                <w:rFonts w:hint="eastAsia" w:ascii="宋体" w:hAnsi="宋体" w:cs="宋体"/>
                <w:bCs/>
                <w:szCs w:val="21"/>
              </w:rPr>
              <w:t>采购代理机构</w:t>
            </w:r>
          </w:p>
        </w:tc>
        <w:tc>
          <w:tcPr>
            <w:tcW w:w="6216" w:type="dxa"/>
            <w:tcBorders>
              <w:top w:val="single" w:color="auto" w:sz="4" w:space="0"/>
              <w:left w:val="single" w:color="auto" w:sz="4" w:space="0"/>
              <w:bottom w:val="single" w:color="auto" w:sz="4" w:space="0"/>
              <w:right w:val="single" w:color="auto" w:sz="4" w:space="0"/>
            </w:tcBorders>
            <w:vAlign w:val="center"/>
          </w:tcPr>
          <w:p w14:paraId="3162D162">
            <w:pPr>
              <w:rPr>
                <w:rFonts w:ascii="宋体" w:hAnsi="宋体" w:cs="宋体"/>
                <w:szCs w:val="21"/>
              </w:rPr>
            </w:pPr>
            <w:r>
              <w:rPr>
                <w:rFonts w:hint="eastAsia" w:ascii="宋体" w:hAnsi="宋体" w:cs="宋体"/>
                <w:szCs w:val="21"/>
              </w:rPr>
              <w:t>名称：深圳市深水水务咨询有限公司</w:t>
            </w:r>
          </w:p>
          <w:p w14:paraId="608E2D97">
            <w:pPr>
              <w:rPr>
                <w:rFonts w:ascii="宋体" w:hAnsi="宋体" w:cs="宋体"/>
                <w:szCs w:val="21"/>
              </w:rPr>
            </w:pPr>
            <w:r>
              <w:rPr>
                <w:rFonts w:hint="eastAsia" w:ascii="宋体" w:hAnsi="宋体" w:cs="宋体"/>
                <w:szCs w:val="21"/>
              </w:rPr>
              <w:t>地址：深圳市罗湖区清水河街道清水河社区清水河一路112号罗湖投资控股大厦裙楼401</w:t>
            </w:r>
          </w:p>
          <w:p w14:paraId="52477C22">
            <w:pPr>
              <w:rPr>
                <w:rFonts w:ascii="宋体" w:hAnsi="宋体" w:cs="宋体"/>
                <w:szCs w:val="21"/>
              </w:rPr>
            </w:pPr>
            <w:r>
              <w:rPr>
                <w:rFonts w:hint="eastAsia" w:ascii="宋体" w:hAnsi="宋体" w:cs="宋体"/>
                <w:szCs w:val="21"/>
              </w:rPr>
              <w:t>项目联系人：庄晓琴、麦舒群</w:t>
            </w:r>
          </w:p>
          <w:p w14:paraId="739090E1">
            <w:pPr>
              <w:rPr>
                <w:rFonts w:ascii="宋体" w:hAnsi="宋体" w:cs="宋体"/>
                <w:szCs w:val="21"/>
              </w:rPr>
            </w:pPr>
            <w:r>
              <w:rPr>
                <w:rFonts w:hint="eastAsia" w:ascii="宋体" w:hAnsi="宋体" w:cs="宋体"/>
                <w:szCs w:val="21"/>
              </w:rPr>
              <w:t>电 话：13688812350</w:t>
            </w:r>
          </w:p>
        </w:tc>
      </w:tr>
      <w:tr w14:paraId="0E368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7A717D2">
            <w:pPr>
              <w:jc w:val="center"/>
              <w:rPr>
                <w:rFonts w:ascii="宋体" w:hAnsi="宋体" w:cs="宋体"/>
                <w:bCs/>
                <w:szCs w:val="21"/>
              </w:rPr>
            </w:pPr>
            <w:r>
              <w:rPr>
                <w:rFonts w:hint="eastAsia" w:ascii="宋体" w:hAnsi="宋体" w:cs="宋体"/>
                <w:bCs/>
                <w:szCs w:val="21"/>
              </w:rPr>
              <w:t>1.1.4</w:t>
            </w:r>
          </w:p>
        </w:tc>
        <w:tc>
          <w:tcPr>
            <w:tcW w:w="2022" w:type="dxa"/>
            <w:tcBorders>
              <w:top w:val="single" w:color="auto" w:sz="4" w:space="0"/>
              <w:left w:val="single" w:color="auto" w:sz="4" w:space="0"/>
              <w:bottom w:val="single" w:color="auto" w:sz="4" w:space="0"/>
              <w:right w:val="single" w:color="auto" w:sz="4" w:space="0"/>
            </w:tcBorders>
            <w:vAlign w:val="center"/>
          </w:tcPr>
          <w:p w14:paraId="4ECF5525">
            <w:pPr>
              <w:jc w:val="center"/>
              <w:rPr>
                <w:rFonts w:ascii="宋体" w:hAnsi="宋体" w:cs="宋体"/>
                <w:bCs/>
                <w:szCs w:val="21"/>
              </w:rPr>
            </w:pPr>
            <w:r>
              <w:rPr>
                <w:rFonts w:hint="eastAsia" w:ascii="宋体" w:hAnsi="宋体" w:cs="宋体"/>
                <w:bCs/>
                <w:szCs w:val="21"/>
              </w:rPr>
              <w:t>项目名称</w:t>
            </w:r>
          </w:p>
        </w:tc>
        <w:tc>
          <w:tcPr>
            <w:tcW w:w="6216" w:type="dxa"/>
            <w:tcBorders>
              <w:top w:val="single" w:color="auto" w:sz="4" w:space="0"/>
              <w:left w:val="single" w:color="auto" w:sz="4" w:space="0"/>
              <w:bottom w:val="single" w:color="auto" w:sz="4" w:space="0"/>
              <w:right w:val="single" w:color="auto" w:sz="4" w:space="0"/>
            </w:tcBorders>
            <w:vAlign w:val="center"/>
          </w:tcPr>
          <w:p w14:paraId="13E94488">
            <w:pPr>
              <w:rPr>
                <w:rFonts w:ascii="宋体" w:hAnsi="宋体" w:cs="宋体"/>
                <w:bCs/>
                <w:szCs w:val="21"/>
              </w:rPr>
            </w:pPr>
            <w:r>
              <w:rPr>
                <w:rFonts w:hint="eastAsia" w:ascii="宋体" w:hAnsi="宋体" w:cs="宋体"/>
                <w:bCs/>
                <w:szCs w:val="21"/>
              </w:rPr>
              <w:t>皇岗海关29栋、31栋、33栋、34栋公有住房修缮项目</w:t>
            </w:r>
          </w:p>
        </w:tc>
      </w:tr>
      <w:tr w14:paraId="1A36B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E5E58EB">
            <w:pPr>
              <w:jc w:val="center"/>
              <w:rPr>
                <w:rFonts w:ascii="宋体" w:hAnsi="宋体" w:cs="宋体"/>
                <w:bCs/>
                <w:szCs w:val="21"/>
              </w:rPr>
            </w:pPr>
            <w:r>
              <w:rPr>
                <w:rFonts w:hint="eastAsia" w:ascii="宋体" w:hAnsi="宋体" w:cs="宋体"/>
                <w:bCs/>
                <w:szCs w:val="21"/>
              </w:rPr>
              <w:t>1.1.5</w:t>
            </w:r>
          </w:p>
        </w:tc>
        <w:tc>
          <w:tcPr>
            <w:tcW w:w="2022" w:type="dxa"/>
            <w:tcBorders>
              <w:top w:val="single" w:color="auto" w:sz="4" w:space="0"/>
              <w:left w:val="single" w:color="auto" w:sz="4" w:space="0"/>
              <w:bottom w:val="single" w:color="auto" w:sz="4" w:space="0"/>
              <w:right w:val="single" w:color="auto" w:sz="4" w:space="0"/>
            </w:tcBorders>
            <w:vAlign w:val="center"/>
          </w:tcPr>
          <w:p w14:paraId="71E80219">
            <w:pPr>
              <w:jc w:val="center"/>
              <w:rPr>
                <w:rFonts w:ascii="宋体" w:hAnsi="宋体" w:cs="宋体"/>
                <w:bCs/>
                <w:szCs w:val="21"/>
              </w:rPr>
            </w:pPr>
            <w:r>
              <w:rPr>
                <w:rFonts w:hint="eastAsia" w:ascii="宋体" w:hAnsi="宋体" w:cs="宋体"/>
                <w:bCs/>
                <w:szCs w:val="21"/>
              </w:rPr>
              <w:t>建设地点</w:t>
            </w:r>
          </w:p>
        </w:tc>
        <w:tc>
          <w:tcPr>
            <w:tcW w:w="6216" w:type="dxa"/>
            <w:tcBorders>
              <w:top w:val="single" w:color="auto" w:sz="4" w:space="0"/>
              <w:left w:val="single" w:color="auto" w:sz="4" w:space="0"/>
              <w:bottom w:val="single" w:color="auto" w:sz="4" w:space="0"/>
              <w:right w:val="single" w:color="auto" w:sz="4" w:space="0"/>
            </w:tcBorders>
            <w:vAlign w:val="center"/>
          </w:tcPr>
          <w:p w14:paraId="5945836C">
            <w:pPr>
              <w:rPr>
                <w:rFonts w:ascii="宋体" w:hAnsi="宋体" w:cs="宋体"/>
                <w:bCs/>
                <w:szCs w:val="21"/>
              </w:rPr>
            </w:pPr>
            <w:r>
              <w:rPr>
                <w:rFonts w:hint="eastAsia" w:ascii="宋体" w:hAnsi="宋体" w:cs="宋体"/>
                <w:bCs/>
                <w:szCs w:val="21"/>
              </w:rPr>
              <w:t>深圳市</w:t>
            </w:r>
          </w:p>
        </w:tc>
      </w:tr>
      <w:tr w14:paraId="14173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07DA95B">
            <w:pPr>
              <w:jc w:val="center"/>
              <w:rPr>
                <w:rFonts w:ascii="宋体" w:hAnsi="宋体" w:cs="宋体"/>
                <w:bCs/>
                <w:szCs w:val="21"/>
              </w:rPr>
            </w:pPr>
            <w:r>
              <w:rPr>
                <w:rFonts w:hint="eastAsia" w:ascii="宋体" w:hAnsi="宋体" w:cs="宋体"/>
                <w:bCs/>
                <w:szCs w:val="21"/>
              </w:rPr>
              <w:t>1.2.1</w:t>
            </w:r>
          </w:p>
        </w:tc>
        <w:tc>
          <w:tcPr>
            <w:tcW w:w="2022" w:type="dxa"/>
            <w:tcBorders>
              <w:top w:val="single" w:color="auto" w:sz="4" w:space="0"/>
              <w:left w:val="single" w:color="auto" w:sz="4" w:space="0"/>
              <w:bottom w:val="single" w:color="auto" w:sz="4" w:space="0"/>
              <w:right w:val="single" w:color="auto" w:sz="4" w:space="0"/>
            </w:tcBorders>
            <w:vAlign w:val="center"/>
          </w:tcPr>
          <w:p w14:paraId="73900734">
            <w:pPr>
              <w:jc w:val="center"/>
              <w:rPr>
                <w:rFonts w:ascii="宋体" w:hAnsi="宋体" w:cs="宋体"/>
                <w:bCs/>
                <w:szCs w:val="21"/>
              </w:rPr>
            </w:pPr>
            <w:r>
              <w:rPr>
                <w:rFonts w:hint="eastAsia" w:ascii="宋体" w:hAnsi="宋体" w:cs="宋体"/>
                <w:bCs/>
                <w:szCs w:val="21"/>
              </w:rPr>
              <w:t>资金来源</w:t>
            </w:r>
          </w:p>
        </w:tc>
        <w:tc>
          <w:tcPr>
            <w:tcW w:w="6216" w:type="dxa"/>
            <w:tcBorders>
              <w:top w:val="single" w:color="auto" w:sz="4" w:space="0"/>
              <w:left w:val="single" w:color="auto" w:sz="4" w:space="0"/>
              <w:bottom w:val="single" w:color="auto" w:sz="4" w:space="0"/>
              <w:right w:val="single" w:color="auto" w:sz="4" w:space="0"/>
            </w:tcBorders>
            <w:vAlign w:val="center"/>
          </w:tcPr>
          <w:p w14:paraId="0B531927">
            <w:pPr>
              <w:rPr>
                <w:rFonts w:ascii="宋体" w:hAnsi="宋体" w:cs="宋体"/>
                <w:bCs/>
                <w:szCs w:val="21"/>
              </w:rPr>
            </w:pPr>
            <w:r>
              <w:rPr>
                <w:rFonts w:hint="eastAsia" w:ascii="宋体" w:hAnsi="宋体" w:cs="宋体"/>
                <w:bCs/>
                <w:szCs w:val="21"/>
              </w:rPr>
              <w:t>财政性资金</w:t>
            </w:r>
          </w:p>
        </w:tc>
      </w:tr>
      <w:tr w14:paraId="7FBED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4A418EA">
            <w:pPr>
              <w:jc w:val="center"/>
              <w:rPr>
                <w:rFonts w:ascii="宋体" w:hAnsi="宋体" w:cs="宋体"/>
                <w:bCs/>
                <w:szCs w:val="21"/>
              </w:rPr>
            </w:pPr>
            <w:r>
              <w:rPr>
                <w:rFonts w:hint="eastAsia" w:ascii="宋体" w:hAnsi="宋体" w:cs="宋体"/>
                <w:bCs/>
                <w:szCs w:val="21"/>
              </w:rPr>
              <w:t>1.2.2</w:t>
            </w:r>
          </w:p>
        </w:tc>
        <w:tc>
          <w:tcPr>
            <w:tcW w:w="2022" w:type="dxa"/>
            <w:tcBorders>
              <w:top w:val="single" w:color="auto" w:sz="4" w:space="0"/>
              <w:left w:val="single" w:color="auto" w:sz="4" w:space="0"/>
              <w:bottom w:val="single" w:color="auto" w:sz="4" w:space="0"/>
              <w:right w:val="single" w:color="auto" w:sz="4" w:space="0"/>
            </w:tcBorders>
            <w:vAlign w:val="center"/>
          </w:tcPr>
          <w:p w14:paraId="7AA05A68">
            <w:pPr>
              <w:jc w:val="center"/>
              <w:rPr>
                <w:rFonts w:ascii="宋体" w:hAnsi="宋体" w:cs="宋体"/>
                <w:bCs/>
                <w:szCs w:val="21"/>
              </w:rPr>
            </w:pPr>
            <w:r>
              <w:rPr>
                <w:rFonts w:hint="eastAsia" w:ascii="宋体" w:hAnsi="宋体" w:cs="宋体"/>
                <w:bCs/>
                <w:szCs w:val="21"/>
              </w:rPr>
              <w:t>出资比例</w:t>
            </w:r>
          </w:p>
        </w:tc>
        <w:tc>
          <w:tcPr>
            <w:tcW w:w="6216" w:type="dxa"/>
            <w:tcBorders>
              <w:top w:val="single" w:color="auto" w:sz="4" w:space="0"/>
              <w:left w:val="single" w:color="auto" w:sz="4" w:space="0"/>
              <w:bottom w:val="single" w:color="auto" w:sz="4" w:space="0"/>
              <w:right w:val="single" w:color="auto" w:sz="4" w:space="0"/>
            </w:tcBorders>
            <w:vAlign w:val="center"/>
          </w:tcPr>
          <w:p w14:paraId="585147AF">
            <w:pPr>
              <w:rPr>
                <w:rFonts w:ascii="宋体" w:hAnsi="宋体" w:cs="宋体"/>
                <w:bCs/>
                <w:szCs w:val="21"/>
              </w:rPr>
            </w:pPr>
            <w:r>
              <w:rPr>
                <w:rFonts w:hint="eastAsia" w:ascii="宋体" w:hAnsi="宋体" w:cs="宋体"/>
                <w:bCs/>
                <w:szCs w:val="21"/>
              </w:rPr>
              <w:t>100%</w:t>
            </w:r>
          </w:p>
        </w:tc>
      </w:tr>
      <w:tr w14:paraId="3DD3C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955D8DC">
            <w:pPr>
              <w:jc w:val="center"/>
              <w:rPr>
                <w:rFonts w:ascii="宋体" w:hAnsi="宋体" w:cs="宋体"/>
                <w:bCs/>
                <w:szCs w:val="21"/>
              </w:rPr>
            </w:pPr>
            <w:r>
              <w:rPr>
                <w:rFonts w:hint="eastAsia" w:ascii="宋体" w:hAnsi="宋体" w:cs="宋体"/>
                <w:bCs/>
                <w:szCs w:val="21"/>
              </w:rPr>
              <w:t>1.2.2</w:t>
            </w:r>
          </w:p>
        </w:tc>
        <w:tc>
          <w:tcPr>
            <w:tcW w:w="2022" w:type="dxa"/>
            <w:tcBorders>
              <w:top w:val="single" w:color="auto" w:sz="4" w:space="0"/>
              <w:left w:val="single" w:color="auto" w:sz="4" w:space="0"/>
              <w:bottom w:val="single" w:color="auto" w:sz="4" w:space="0"/>
              <w:right w:val="single" w:color="auto" w:sz="4" w:space="0"/>
            </w:tcBorders>
            <w:vAlign w:val="center"/>
          </w:tcPr>
          <w:p w14:paraId="78279AFF">
            <w:pPr>
              <w:jc w:val="center"/>
              <w:rPr>
                <w:rFonts w:ascii="宋体" w:hAnsi="宋体" w:cs="宋体"/>
                <w:bCs/>
                <w:szCs w:val="21"/>
              </w:rPr>
            </w:pPr>
            <w:r>
              <w:rPr>
                <w:rFonts w:hint="eastAsia" w:ascii="宋体" w:hAnsi="宋体" w:cs="宋体"/>
                <w:bCs/>
                <w:szCs w:val="21"/>
              </w:rPr>
              <w:t>预算金额</w:t>
            </w:r>
          </w:p>
        </w:tc>
        <w:tc>
          <w:tcPr>
            <w:tcW w:w="6216" w:type="dxa"/>
            <w:tcBorders>
              <w:top w:val="single" w:color="auto" w:sz="4" w:space="0"/>
              <w:left w:val="single" w:color="auto" w:sz="4" w:space="0"/>
              <w:bottom w:val="single" w:color="auto" w:sz="4" w:space="0"/>
              <w:right w:val="single" w:color="auto" w:sz="4" w:space="0"/>
            </w:tcBorders>
            <w:vAlign w:val="center"/>
          </w:tcPr>
          <w:p w14:paraId="36B7667B">
            <w:pPr>
              <w:rPr>
                <w:rFonts w:ascii="宋体" w:hAnsi="宋体" w:cs="宋体"/>
                <w:bCs/>
                <w:szCs w:val="21"/>
              </w:rPr>
            </w:pPr>
            <w:r>
              <w:rPr>
                <w:rFonts w:hint="eastAsia" w:ascii="宋体" w:hAnsi="宋体" w:cs="宋体"/>
                <w:bCs/>
                <w:szCs w:val="21"/>
              </w:rPr>
              <w:t>184.943334万元</w:t>
            </w:r>
          </w:p>
        </w:tc>
      </w:tr>
      <w:tr w14:paraId="34F92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9C27237">
            <w:pPr>
              <w:jc w:val="center"/>
              <w:rPr>
                <w:rFonts w:ascii="宋体" w:hAnsi="宋体" w:cs="宋体"/>
                <w:bCs/>
                <w:szCs w:val="21"/>
              </w:rPr>
            </w:pPr>
            <w:r>
              <w:rPr>
                <w:rFonts w:hint="eastAsia" w:ascii="宋体" w:hAnsi="宋体" w:cs="宋体"/>
                <w:bCs/>
                <w:szCs w:val="21"/>
              </w:rPr>
              <w:t>1.2.3</w:t>
            </w:r>
          </w:p>
        </w:tc>
        <w:tc>
          <w:tcPr>
            <w:tcW w:w="2022" w:type="dxa"/>
            <w:tcBorders>
              <w:top w:val="single" w:color="auto" w:sz="4" w:space="0"/>
              <w:left w:val="single" w:color="auto" w:sz="4" w:space="0"/>
              <w:bottom w:val="single" w:color="auto" w:sz="4" w:space="0"/>
              <w:right w:val="single" w:color="auto" w:sz="4" w:space="0"/>
            </w:tcBorders>
            <w:vAlign w:val="center"/>
          </w:tcPr>
          <w:p w14:paraId="440E905B">
            <w:pPr>
              <w:jc w:val="center"/>
              <w:rPr>
                <w:rFonts w:ascii="宋体" w:hAnsi="宋体" w:cs="宋体"/>
                <w:bCs/>
                <w:szCs w:val="21"/>
              </w:rPr>
            </w:pPr>
            <w:r>
              <w:rPr>
                <w:rFonts w:hint="eastAsia" w:ascii="宋体" w:hAnsi="宋体" w:cs="宋体"/>
                <w:bCs/>
                <w:szCs w:val="21"/>
              </w:rPr>
              <w:t>资金落实情况</w:t>
            </w:r>
          </w:p>
        </w:tc>
        <w:tc>
          <w:tcPr>
            <w:tcW w:w="6216" w:type="dxa"/>
            <w:tcBorders>
              <w:top w:val="single" w:color="auto" w:sz="4" w:space="0"/>
              <w:left w:val="single" w:color="auto" w:sz="4" w:space="0"/>
              <w:bottom w:val="single" w:color="auto" w:sz="4" w:space="0"/>
              <w:right w:val="single" w:color="auto" w:sz="4" w:space="0"/>
            </w:tcBorders>
            <w:vAlign w:val="center"/>
          </w:tcPr>
          <w:p w14:paraId="3DADDB10">
            <w:pPr>
              <w:rPr>
                <w:rFonts w:ascii="宋体" w:hAnsi="宋体" w:cs="宋体"/>
                <w:bCs/>
                <w:szCs w:val="21"/>
              </w:rPr>
            </w:pPr>
            <w:r>
              <w:rPr>
                <w:rFonts w:hint="eastAsia" w:ascii="宋体" w:hAnsi="宋体" w:cs="宋体"/>
                <w:bCs/>
                <w:szCs w:val="21"/>
              </w:rPr>
              <w:t>已落实</w:t>
            </w:r>
          </w:p>
        </w:tc>
      </w:tr>
      <w:tr w14:paraId="22B50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950A1CF">
            <w:pPr>
              <w:jc w:val="center"/>
              <w:rPr>
                <w:rFonts w:ascii="宋体" w:hAnsi="宋体" w:cs="宋体"/>
                <w:bCs/>
                <w:szCs w:val="21"/>
              </w:rPr>
            </w:pPr>
            <w:r>
              <w:rPr>
                <w:rFonts w:hint="eastAsia" w:ascii="宋体" w:hAnsi="宋体" w:cs="宋体"/>
                <w:bCs/>
                <w:szCs w:val="21"/>
              </w:rPr>
              <w:t>1.3.1</w:t>
            </w:r>
          </w:p>
        </w:tc>
        <w:tc>
          <w:tcPr>
            <w:tcW w:w="2022" w:type="dxa"/>
            <w:tcBorders>
              <w:top w:val="single" w:color="auto" w:sz="4" w:space="0"/>
              <w:left w:val="single" w:color="auto" w:sz="4" w:space="0"/>
              <w:bottom w:val="single" w:color="auto" w:sz="4" w:space="0"/>
              <w:right w:val="single" w:color="auto" w:sz="4" w:space="0"/>
            </w:tcBorders>
            <w:vAlign w:val="center"/>
          </w:tcPr>
          <w:p w14:paraId="0F7E9955">
            <w:pPr>
              <w:jc w:val="center"/>
              <w:rPr>
                <w:rFonts w:ascii="宋体" w:hAnsi="宋体" w:cs="宋体"/>
                <w:bCs/>
                <w:szCs w:val="21"/>
              </w:rPr>
            </w:pPr>
            <w:r>
              <w:rPr>
                <w:rFonts w:hint="eastAsia" w:ascii="宋体" w:hAnsi="宋体" w:cs="宋体"/>
                <w:bCs/>
                <w:szCs w:val="21"/>
              </w:rPr>
              <w:t>采购范围</w:t>
            </w:r>
          </w:p>
        </w:tc>
        <w:tc>
          <w:tcPr>
            <w:tcW w:w="6216" w:type="dxa"/>
            <w:tcBorders>
              <w:top w:val="single" w:color="auto" w:sz="4" w:space="0"/>
              <w:left w:val="single" w:color="auto" w:sz="4" w:space="0"/>
              <w:bottom w:val="single" w:color="auto" w:sz="4" w:space="0"/>
              <w:right w:val="single" w:color="auto" w:sz="4" w:space="0"/>
            </w:tcBorders>
            <w:vAlign w:val="center"/>
          </w:tcPr>
          <w:p w14:paraId="53EC0FE4">
            <w:pPr>
              <w:rPr>
                <w:rFonts w:ascii="宋体" w:hAnsi="宋体" w:cs="宋体"/>
                <w:bCs/>
                <w:szCs w:val="21"/>
              </w:rPr>
            </w:pPr>
            <w:r>
              <w:rPr>
                <w:rFonts w:hint="eastAsia" w:ascii="宋体" w:hAnsi="宋体" w:cs="宋体"/>
                <w:bCs/>
                <w:szCs w:val="21"/>
              </w:rPr>
              <w:t>详见采购文件</w:t>
            </w:r>
          </w:p>
        </w:tc>
      </w:tr>
      <w:tr w14:paraId="1D813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A78EC93">
            <w:pPr>
              <w:jc w:val="center"/>
              <w:rPr>
                <w:rFonts w:ascii="宋体" w:hAnsi="宋体" w:cs="宋体"/>
                <w:bCs/>
                <w:szCs w:val="21"/>
              </w:rPr>
            </w:pPr>
            <w:r>
              <w:rPr>
                <w:rFonts w:hint="eastAsia" w:ascii="宋体" w:hAnsi="宋体" w:cs="宋体"/>
                <w:bCs/>
                <w:szCs w:val="21"/>
              </w:rPr>
              <w:t>1.3.2</w:t>
            </w:r>
          </w:p>
        </w:tc>
        <w:tc>
          <w:tcPr>
            <w:tcW w:w="2022" w:type="dxa"/>
            <w:tcBorders>
              <w:top w:val="single" w:color="auto" w:sz="4" w:space="0"/>
              <w:left w:val="single" w:color="auto" w:sz="4" w:space="0"/>
              <w:bottom w:val="single" w:color="auto" w:sz="4" w:space="0"/>
              <w:right w:val="single" w:color="auto" w:sz="4" w:space="0"/>
            </w:tcBorders>
            <w:vAlign w:val="center"/>
          </w:tcPr>
          <w:p w14:paraId="0EBAA7B8">
            <w:pPr>
              <w:jc w:val="center"/>
              <w:rPr>
                <w:rFonts w:ascii="宋体" w:hAnsi="宋体" w:cs="宋体"/>
                <w:bCs/>
                <w:szCs w:val="21"/>
              </w:rPr>
            </w:pPr>
            <w:r>
              <w:rPr>
                <w:rFonts w:hint="eastAsia" w:ascii="宋体" w:hAnsi="宋体" w:cs="宋体"/>
                <w:bCs/>
                <w:szCs w:val="21"/>
              </w:rPr>
              <w:t>计划工期</w:t>
            </w:r>
          </w:p>
        </w:tc>
        <w:tc>
          <w:tcPr>
            <w:tcW w:w="6216" w:type="dxa"/>
            <w:tcBorders>
              <w:top w:val="single" w:color="auto" w:sz="4" w:space="0"/>
              <w:left w:val="single" w:color="auto" w:sz="4" w:space="0"/>
              <w:bottom w:val="single" w:color="auto" w:sz="4" w:space="0"/>
              <w:right w:val="single" w:color="auto" w:sz="4" w:space="0"/>
            </w:tcBorders>
            <w:vAlign w:val="center"/>
          </w:tcPr>
          <w:p w14:paraId="42C9E75E">
            <w:pPr>
              <w:rPr>
                <w:rFonts w:ascii="宋体" w:hAnsi="宋体" w:cs="宋体"/>
                <w:kern w:val="0"/>
                <w:szCs w:val="21"/>
              </w:rPr>
            </w:pPr>
            <w:r>
              <w:rPr>
                <w:rFonts w:hint="eastAsia" w:ascii="宋体" w:hAnsi="宋体" w:cs="宋体"/>
                <w:bCs/>
                <w:szCs w:val="21"/>
              </w:rPr>
              <w:t>75天（日历日）内</w:t>
            </w:r>
          </w:p>
        </w:tc>
      </w:tr>
      <w:tr w14:paraId="1D317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4993405">
            <w:pPr>
              <w:jc w:val="center"/>
              <w:rPr>
                <w:rFonts w:ascii="宋体" w:hAnsi="宋体" w:cs="宋体"/>
                <w:bCs/>
                <w:szCs w:val="21"/>
              </w:rPr>
            </w:pPr>
            <w:r>
              <w:rPr>
                <w:rFonts w:hint="eastAsia" w:ascii="宋体" w:hAnsi="宋体" w:cs="宋体"/>
                <w:bCs/>
                <w:szCs w:val="21"/>
              </w:rPr>
              <w:t>1.3.3</w:t>
            </w:r>
          </w:p>
        </w:tc>
        <w:tc>
          <w:tcPr>
            <w:tcW w:w="2022" w:type="dxa"/>
            <w:tcBorders>
              <w:top w:val="single" w:color="auto" w:sz="4" w:space="0"/>
              <w:left w:val="single" w:color="auto" w:sz="4" w:space="0"/>
              <w:bottom w:val="single" w:color="auto" w:sz="4" w:space="0"/>
              <w:right w:val="single" w:color="auto" w:sz="4" w:space="0"/>
            </w:tcBorders>
            <w:vAlign w:val="center"/>
          </w:tcPr>
          <w:p w14:paraId="51FD9CD8">
            <w:pPr>
              <w:jc w:val="center"/>
              <w:rPr>
                <w:rFonts w:ascii="宋体" w:hAnsi="宋体" w:cs="宋体"/>
                <w:bCs/>
                <w:szCs w:val="21"/>
              </w:rPr>
            </w:pPr>
            <w:r>
              <w:rPr>
                <w:rFonts w:hint="eastAsia" w:ascii="宋体" w:hAnsi="宋体" w:cs="宋体"/>
                <w:bCs/>
                <w:szCs w:val="21"/>
              </w:rPr>
              <w:t>质量要求</w:t>
            </w:r>
          </w:p>
        </w:tc>
        <w:tc>
          <w:tcPr>
            <w:tcW w:w="6216" w:type="dxa"/>
            <w:tcBorders>
              <w:top w:val="single" w:color="auto" w:sz="4" w:space="0"/>
              <w:left w:val="single" w:color="auto" w:sz="4" w:space="0"/>
              <w:bottom w:val="single" w:color="auto" w:sz="4" w:space="0"/>
              <w:right w:val="single" w:color="auto" w:sz="4" w:space="0"/>
            </w:tcBorders>
            <w:vAlign w:val="center"/>
          </w:tcPr>
          <w:p w14:paraId="1BD6C9E0">
            <w:pPr>
              <w:rPr>
                <w:rFonts w:ascii="宋体" w:hAnsi="宋体" w:cs="宋体"/>
                <w:bCs/>
                <w:szCs w:val="21"/>
              </w:rPr>
            </w:pPr>
            <w:r>
              <w:rPr>
                <w:rFonts w:hint="eastAsia" w:ascii="宋体" w:hAnsi="宋体" w:cs="宋体"/>
                <w:bCs/>
                <w:szCs w:val="21"/>
              </w:rPr>
              <w:t>详见项目需求书</w:t>
            </w:r>
          </w:p>
        </w:tc>
      </w:tr>
      <w:tr w14:paraId="2BF6A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8798A17">
            <w:pPr>
              <w:jc w:val="center"/>
              <w:rPr>
                <w:rFonts w:ascii="宋体" w:hAnsi="宋体" w:cs="宋体"/>
                <w:bCs/>
                <w:szCs w:val="21"/>
              </w:rPr>
            </w:pPr>
            <w:r>
              <w:rPr>
                <w:rFonts w:hint="eastAsia" w:ascii="宋体" w:hAnsi="宋体" w:cs="宋体"/>
                <w:bCs/>
                <w:szCs w:val="21"/>
              </w:rPr>
              <w:t>1.4</w:t>
            </w:r>
          </w:p>
        </w:tc>
        <w:tc>
          <w:tcPr>
            <w:tcW w:w="2022" w:type="dxa"/>
            <w:tcBorders>
              <w:top w:val="single" w:color="auto" w:sz="4" w:space="0"/>
              <w:left w:val="single" w:color="auto" w:sz="4" w:space="0"/>
              <w:bottom w:val="single" w:color="auto" w:sz="4" w:space="0"/>
              <w:right w:val="single" w:color="auto" w:sz="4" w:space="0"/>
            </w:tcBorders>
            <w:vAlign w:val="center"/>
          </w:tcPr>
          <w:p w14:paraId="71CB2056">
            <w:pPr>
              <w:jc w:val="center"/>
              <w:rPr>
                <w:rFonts w:ascii="宋体" w:hAnsi="宋体" w:cs="宋体"/>
                <w:bCs/>
                <w:szCs w:val="21"/>
              </w:rPr>
            </w:pPr>
            <w:r>
              <w:rPr>
                <w:rFonts w:hint="eastAsia" w:ascii="宋体" w:hAnsi="宋体" w:cs="宋体"/>
                <w:bCs/>
                <w:szCs w:val="21"/>
              </w:rPr>
              <w:t>供应商应具备承担本标段施工的资质条件、能力和信誉</w:t>
            </w:r>
          </w:p>
        </w:tc>
        <w:tc>
          <w:tcPr>
            <w:tcW w:w="6216" w:type="dxa"/>
            <w:tcBorders>
              <w:top w:val="single" w:color="auto" w:sz="4" w:space="0"/>
              <w:left w:val="single" w:color="auto" w:sz="4" w:space="0"/>
              <w:bottom w:val="single" w:color="auto" w:sz="4" w:space="0"/>
              <w:right w:val="single" w:color="auto" w:sz="4" w:space="0"/>
            </w:tcBorders>
            <w:vAlign w:val="center"/>
          </w:tcPr>
          <w:p w14:paraId="4EB6547B">
            <w:pPr>
              <w:rPr>
                <w:rFonts w:ascii="宋体" w:hAnsi="宋体" w:cs="宋体"/>
                <w:bCs/>
                <w:szCs w:val="21"/>
              </w:rPr>
            </w:pPr>
            <w:r>
              <w:rPr>
                <w:rFonts w:hint="eastAsia" w:ascii="宋体" w:hAnsi="宋体" w:cs="宋体"/>
                <w:bCs/>
                <w:szCs w:val="21"/>
              </w:rPr>
              <w:t xml:space="preserve">1.满足《中华人民共和国政府采购法》第二十二条规定； </w:t>
            </w:r>
          </w:p>
          <w:p w14:paraId="09E382E5">
            <w:pPr>
              <w:rPr>
                <w:rFonts w:ascii="宋体" w:hAnsi="宋体" w:cs="宋体"/>
                <w:bCs/>
                <w:szCs w:val="21"/>
              </w:rPr>
            </w:pPr>
            <w:r>
              <w:rPr>
                <w:rFonts w:hint="eastAsia" w:ascii="宋体" w:hAnsi="宋体" w:cs="宋体"/>
                <w:bCs/>
                <w:szCs w:val="21"/>
              </w:rPr>
              <w:t>2.落实政府采购政策需满足的资格要求：</w:t>
            </w:r>
          </w:p>
          <w:p w14:paraId="0EE4FCD6">
            <w:pPr>
              <w:rPr>
                <w:rFonts w:ascii="宋体" w:hAnsi="宋体" w:cs="宋体"/>
                <w:bCs/>
                <w:szCs w:val="21"/>
              </w:rPr>
            </w:pPr>
            <w:r>
              <w:rPr>
                <w:rFonts w:hint="eastAsia" w:ascii="宋体" w:hAnsi="宋体" w:cs="宋体"/>
                <w:bCs/>
                <w:szCs w:val="21"/>
              </w:rPr>
              <w:t>本项目属于专门面向中小微企业采购的项目（提供符合要求的《中小企业声明函》，响应供应商必须属于中型企业、小型企业或微型企业；如供应商为残疾人福利性单位或监狱企业，视同小型、微型企业，提供《残疾人福利性单位声明函》或《监狱企业声明函》及监狱企业证明文件亦视为符合。采购标的对应的中小企业划分标准所属行业：建筑业。</w:t>
            </w:r>
          </w:p>
          <w:p w14:paraId="04711F2E">
            <w:pPr>
              <w:rPr>
                <w:rFonts w:ascii="宋体" w:hAnsi="宋体" w:cs="宋体"/>
                <w:bCs/>
                <w:szCs w:val="21"/>
              </w:rPr>
            </w:pPr>
            <w:r>
              <w:rPr>
                <w:rFonts w:hint="eastAsia" w:ascii="宋体" w:hAnsi="宋体" w:cs="宋体"/>
                <w:bCs/>
                <w:szCs w:val="21"/>
              </w:rPr>
              <w:t>3.本项目的特定资格要求</w:t>
            </w:r>
          </w:p>
          <w:p w14:paraId="5EA21A3D">
            <w:pPr>
              <w:rPr>
                <w:rFonts w:ascii="宋体" w:hAnsi="宋体" w:cs="宋体"/>
                <w:bCs/>
                <w:szCs w:val="21"/>
              </w:rPr>
            </w:pPr>
            <w:r>
              <w:rPr>
                <w:rFonts w:hint="eastAsia" w:ascii="宋体" w:hAnsi="宋体" w:cs="宋体"/>
                <w:bCs/>
                <w:szCs w:val="21"/>
              </w:rPr>
              <w:t>3.1具有独立法人资格或具有独立承担民事责任的能力的其它组织（提供营业执照或事业单位法人证等法人证明复印件并加盖供应商公章，原件备查）。</w:t>
            </w:r>
          </w:p>
          <w:p w14:paraId="15A097D6">
            <w:pPr>
              <w:rPr>
                <w:rFonts w:ascii="宋体" w:hAnsi="宋体" w:cs="宋体"/>
                <w:bCs/>
                <w:szCs w:val="21"/>
              </w:rPr>
            </w:pPr>
            <w:r>
              <w:rPr>
                <w:rFonts w:hint="eastAsia" w:ascii="宋体" w:hAnsi="宋体" w:cs="宋体"/>
                <w:bCs/>
                <w:szCs w:val="21"/>
              </w:rPr>
              <w:t>3.2参与本项目政府采购活动时不存在被有关部门禁止参与政府采购活动且在有效期内的情况（由供应商在《政府采购及履约承诺函》中作出声明，加盖公章）；</w:t>
            </w:r>
          </w:p>
          <w:p w14:paraId="397D56A4">
            <w:pPr>
              <w:rPr>
                <w:rFonts w:ascii="宋体" w:hAnsi="宋体" w:cs="宋体"/>
                <w:bCs/>
                <w:szCs w:val="21"/>
              </w:rPr>
            </w:pPr>
            <w:r>
              <w:rPr>
                <w:rFonts w:hint="eastAsia" w:ascii="宋体" w:hAnsi="宋体" w:cs="宋体"/>
                <w:bCs/>
                <w:szCs w:val="21"/>
              </w:rPr>
              <w:t>3.3具备《中华人民共和国政府采购法》第二十二条的条件（由供应商在《政府采购及履约承诺函》中作出声明，加盖公章）；</w:t>
            </w:r>
          </w:p>
          <w:p w14:paraId="136132C0">
            <w:pPr>
              <w:rPr>
                <w:rFonts w:ascii="宋体" w:hAnsi="宋体" w:cs="宋体"/>
                <w:bCs/>
                <w:szCs w:val="21"/>
              </w:rPr>
            </w:pPr>
            <w:r>
              <w:rPr>
                <w:rFonts w:hint="eastAsia" w:ascii="宋体" w:hAnsi="宋体" w:cs="宋体"/>
                <w:bCs/>
                <w:szCs w:val="21"/>
              </w:rPr>
              <w:t>3.4未被列入失信被执行人、重大税收违法失信主体、政府采购严重违法失信行为记录名单（由供应商在《政府采购及履约承诺函》中作出声明，加盖公章）；【注：采购代理机构将通过“信用中国”中“信用服务”栏的“重大税收违法失信主体”“失信被执行人”、“中国政府采购网”中的“政府采购严重违法失信行为记录名单”、“深圳信用网”以及“深圳市政府采购监管网”查询供应商的信用信息，相关信息以开标当日的查询结果为准。信用信息查询记录将作为项目档案材料一并保存。】</w:t>
            </w:r>
          </w:p>
          <w:p w14:paraId="4479C6EC">
            <w:pPr>
              <w:rPr>
                <w:rFonts w:ascii="宋体" w:hAnsi="宋体" w:cs="宋体"/>
                <w:bCs/>
                <w:szCs w:val="21"/>
              </w:rPr>
            </w:pPr>
            <w:r>
              <w:rPr>
                <w:rFonts w:hint="eastAsia" w:ascii="宋体" w:hAnsi="宋体" w:cs="宋体"/>
                <w:bCs/>
                <w:szCs w:val="21"/>
              </w:rPr>
              <w:t>3.5单位法定代表人（负责人）为同一人或者存在直接控股、管理关系的不同供应商，不得同时参加本项目（由供应商在《政府采购及履约承诺函》中作出声明，加盖公章）；</w:t>
            </w:r>
          </w:p>
          <w:p w14:paraId="08C9F3E5">
            <w:pPr>
              <w:rPr>
                <w:rFonts w:ascii="宋体" w:hAnsi="宋体" w:cs="宋体"/>
                <w:bCs/>
                <w:szCs w:val="21"/>
              </w:rPr>
            </w:pPr>
            <w:r>
              <w:rPr>
                <w:rFonts w:hint="eastAsia" w:ascii="宋体" w:hAnsi="宋体" w:cs="宋体"/>
                <w:bCs/>
                <w:szCs w:val="21"/>
              </w:rPr>
              <w:t>3.6一个供应商不得提交两个或两个以上不同的响应文件或响应报价。如果供应商之间存在下列为关联关系的情形之一的，不得同时参加本项目响应，否则其响应无效</w:t>
            </w:r>
            <w:r>
              <w:rPr>
                <w:rFonts w:hint="eastAsia" w:ascii="宋体" w:hAnsi="宋体" w:cs="宋体"/>
                <w:szCs w:val="21"/>
              </w:rPr>
              <w:t>（供应商须提供《承诺函》，格式自拟，并加盖单位公章）</w:t>
            </w:r>
            <w:r>
              <w:rPr>
                <w:rFonts w:hint="eastAsia" w:ascii="宋体" w:hAnsi="宋体" w:cs="宋体"/>
                <w:bCs/>
                <w:szCs w:val="21"/>
              </w:rPr>
              <w:t>：</w:t>
            </w:r>
          </w:p>
          <w:p w14:paraId="6F3DA11F">
            <w:pPr>
              <w:rPr>
                <w:rFonts w:ascii="宋体" w:hAnsi="宋体" w:cs="宋体"/>
                <w:bCs/>
                <w:szCs w:val="21"/>
              </w:rPr>
            </w:pPr>
            <w:r>
              <w:rPr>
                <w:rFonts w:hint="eastAsia" w:ascii="宋体" w:hAnsi="宋体" w:cs="宋体"/>
                <w:bCs/>
                <w:szCs w:val="21"/>
              </w:rPr>
              <w:t>（1）法定代表人为同一人的两个或两个以上法人；</w:t>
            </w:r>
          </w:p>
          <w:p w14:paraId="7AF0FAA1">
            <w:pPr>
              <w:rPr>
                <w:rFonts w:ascii="宋体" w:hAnsi="宋体" w:cs="宋体"/>
                <w:bCs/>
                <w:szCs w:val="21"/>
              </w:rPr>
            </w:pPr>
            <w:r>
              <w:rPr>
                <w:rFonts w:hint="eastAsia" w:ascii="宋体" w:hAnsi="宋体" w:cs="宋体"/>
                <w:bCs/>
                <w:szCs w:val="21"/>
              </w:rPr>
              <w:t>（2）母公司或实际控制人及其直接或间接持股50%及以上的被投资公司；</w:t>
            </w:r>
          </w:p>
          <w:p w14:paraId="30D2ABEC">
            <w:pPr>
              <w:rPr>
                <w:rFonts w:ascii="宋体" w:hAnsi="宋体" w:cs="宋体"/>
                <w:bCs/>
                <w:szCs w:val="21"/>
              </w:rPr>
            </w:pPr>
            <w:r>
              <w:rPr>
                <w:rFonts w:hint="eastAsia" w:ascii="宋体" w:hAnsi="宋体" w:cs="宋体"/>
                <w:bCs/>
                <w:szCs w:val="21"/>
              </w:rPr>
              <w:t>（3）均为同一家母公司或实际控制人直接或间接持股50%及以上的被投资公司。</w:t>
            </w:r>
          </w:p>
          <w:p w14:paraId="5584B516">
            <w:pPr>
              <w:rPr>
                <w:rFonts w:ascii="宋体" w:hAnsi="宋体" w:cs="宋体"/>
                <w:bCs/>
                <w:szCs w:val="21"/>
              </w:rPr>
            </w:pPr>
            <w:r>
              <w:rPr>
                <w:rFonts w:hint="eastAsia" w:ascii="宋体" w:hAnsi="宋体" w:cs="宋体"/>
                <w:bCs/>
                <w:szCs w:val="21"/>
              </w:rPr>
              <w:t>3.7为本项目提供整体设计、规范编制或者项目管理、监理、检测等服务的供应商，不得参加本项目。（由供应商在《政府采购及履约承诺函》中作出声明，加盖公章）；</w:t>
            </w:r>
          </w:p>
          <w:p w14:paraId="137F5CB8">
            <w:pPr>
              <w:rPr>
                <w:rFonts w:ascii="宋体" w:hAnsi="宋体" w:cs="宋体"/>
                <w:bCs/>
                <w:szCs w:val="21"/>
              </w:rPr>
            </w:pPr>
            <w:r>
              <w:rPr>
                <w:rFonts w:hint="eastAsia" w:ascii="宋体" w:hAnsi="宋体" w:cs="宋体"/>
                <w:bCs/>
                <w:szCs w:val="21"/>
              </w:rPr>
              <w:t>3.8本项目不接受联合体响应，不接受进口产品参与磋商，不允许转包分包（由供应商在《政府采购及履约承诺函》中作出声明，加盖公章）；</w:t>
            </w:r>
          </w:p>
          <w:p w14:paraId="7C3C6640">
            <w:pPr>
              <w:rPr>
                <w:rFonts w:ascii="宋体" w:hAnsi="宋体" w:cs="宋体"/>
                <w:bCs/>
                <w:szCs w:val="21"/>
              </w:rPr>
            </w:pPr>
            <w:r>
              <w:rPr>
                <w:rFonts w:hint="eastAsia" w:ascii="宋体" w:hAnsi="宋体" w:cs="宋体"/>
                <w:bCs/>
                <w:szCs w:val="21"/>
              </w:rPr>
              <w:t>3.9具有以下资质（供应商须提供相关资质证书证明材料复印件并加盖单位公章）：</w:t>
            </w:r>
          </w:p>
          <w:p w14:paraId="6D928CC5">
            <w:pPr>
              <w:rPr>
                <w:rFonts w:ascii="宋体" w:hAnsi="宋体" w:cs="宋体"/>
                <w:bCs/>
                <w:szCs w:val="21"/>
              </w:rPr>
            </w:pPr>
            <w:r>
              <w:rPr>
                <w:rFonts w:hint="eastAsia" w:ascii="宋体" w:hAnsi="宋体" w:cs="宋体"/>
                <w:bCs/>
                <w:szCs w:val="21"/>
              </w:rPr>
              <w:t>①建设行政主管部门核发的有效的“建筑工程施工总承包三级及以上资质”或“建筑装修装饰工程专业承包二级及以上资质”。</w:t>
            </w:r>
          </w:p>
          <w:p w14:paraId="1A5B1838">
            <w:pPr>
              <w:rPr>
                <w:rFonts w:ascii="宋体" w:hAnsi="宋体" w:cs="宋体"/>
                <w:bCs/>
                <w:szCs w:val="21"/>
              </w:rPr>
            </w:pPr>
            <w:r>
              <w:rPr>
                <w:rFonts w:hint="eastAsia" w:ascii="宋体" w:hAnsi="宋体" w:cs="宋体"/>
                <w:bCs/>
                <w:szCs w:val="21"/>
              </w:rPr>
              <w:t>②具有有效的安全生产许可证（提供复印件加盖公章）。</w:t>
            </w:r>
          </w:p>
        </w:tc>
      </w:tr>
      <w:tr w14:paraId="410B7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E2DD893">
            <w:pPr>
              <w:jc w:val="center"/>
              <w:rPr>
                <w:rFonts w:ascii="宋体" w:hAnsi="宋体" w:cs="宋体"/>
                <w:bCs/>
                <w:szCs w:val="21"/>
              </w:rPr>
            </w:pPr>
            <w:r>
              <w:rPr>
                <w:rFonts w:hint="eastAsia" w:ascii="宋体" w:hAnsi="宋体" w:cs="宋体"/>
                <w:bCs/>
                <w:szCs w:val="21"/>
              </w:rPr>
              <w:t>1.4</w:t>
            </w:r>
          </w:p>
        </w:tc>
        <w:tc>
          <w:tcPr>
            <w:tcW w:w="2022" w:type="dxa"/>
            <w:tcBorders>
              <w:top w:val="single" w:color="auto" w:sz="4" w:space="0"/>
              <w:left w:val="single" w:color="auto" w:sz="4" w:space="0"/>
              <w:bottom w:val="single" w:color="auto" w:sz="4" w:space="0"/>
              <w:right w:val="single" w:color="auto" w:sz="4" w:space="0"/>
            </w:tcBorders>
            <w:vAlign w:val="center"/>
          </w:tcPr>
          <w:p w14:paraId="66DD0A4B">
            <w:pPr>
              <w:jc w:val="center"/>
              <w:rPr>
                <w:rFonts w:ascii="宋体" w:hAnsi="宋体" w:cs="宋体"/>
                <w:bCs/>
                <w:szCs w:val="21"/>
              </w:rPr>
            </w:pPr>
            <w:r>
              <w:rPr>
                <w:rFonts w:hint="eastAsia" w:ascii="宋体" w:hAnsi="宋体" w:cs="宋体"/>
                <w:bCs/>
                <w:szCs w:val="21"/>
              </w:rPr>
              <w:t>是否接受联合体</w:t>
            </w:r>
          </w:p>
        </w:tc>
        <w:tc>
          <w:tcPr>
            <w:tcW w:w="6216" w:type="dxa"/>
            <w:tcBorders>
              <w:top w:val="single" w:color="auto" w:sz="4" w:space="0"/>
              <w:left w:val="single" w:color="auto" w:sz="4" w:space="0"/>
              <w:bottom w:val="single" w:color="auto" w:sz="4" w:space="0"/>
              <w:right w:val="single" w:color="auto" w:sz="4" w:space="0"/>
            </w:tcBorders>
            <w:vAlign w:val="center"/>
          </w:tcPr>
          <w:p w14:paraId="2291B13F">
            <w:pPr>
              <w:rPr>
                <w:rFonts w:ascii="宋体" w:hAnsi="宋体" w:cs="宋体"/>
                <w:bCs/>
                <w:szCs w:val="21"/>
              </w:rPr>
            </w:pPr>
            <w:r>
              <w:rPr>
                <w:rFonts w:hint="eastAsia" w:ascii="宋体" w:hAnsi="宋体" w:cs="宋体"/>
                <w:szCs w:val="21"/>
              </w:rPr>
              <w:fldChar w:fldCharType="begin"/>
            </w:r>
            <w:r>
              <w:rPr>
                <w:rFonts w:hint="eastAsia" w:ascii="宋体" w:hAnsi="宋体" w:cs="宋体"/>
                <w:szCs w:val="21"/>
              </w:rPr>
              <w:instrText xml:space="preserve"> eq \o\ac(</w:instrText>
            </w:r>
            <w:r>
              <w:rPr>
                <w:rFonts w:hint="eastAsia" w:ascii="宋体" w:hAnsi="宋体" w:cs="宋体"/>
                <w:position w:val="-4"/>
                <w:sz w:val="31"/>
                <w:szCs w:val="21"/>
              </w:rPr>
              <w:instrText xml:space="preserve">□</w:instrText>
            </w:r>
            <w:r>
              <w:rPr>
                <w:rFonts w:hint="eastAsia" w:ascii="宋体" w:hAnsi="宋体" w:cs="宋体"/>
                <w:szCs w:val="21"/>
              </w:rPr>
              <w:instrText xml:space="preserve">,√)</w:instrText>
            </w:r>
            <w:r>
              <w:rPr>
                <w:rFonts w:hint="eastAsia" w:ascii="宋体" w:hAnsi="宋体" w:cs="宋体"/>
                <w:szCs w:val="21"/>
              </w:rPr>
              <w:fldChar w:fldCharType="end"/>
            </w:r>
            <w:r>
              <w:rPr>
                <w:rFonts w:hint="eastAsia" w:ascii="宋体" w:hAnsi="宋体" w:cs="宋体"/>
                <w:bCs/>
                <w:szCs w:val="21"/>
              </w:rPr>
              <w:t>不接受</w:t>
            </w:r>
          </w:p>
        </w:tc>
      </w:tr>
      <w:tr w14:paraId="317E9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2152A9B">
            <w:pPr>
              <w:jc w:val="center"/>
              <w:rPr>
                <w:rFonts w:ascii="宋体" w:hAnsi="宋体" w:cs="宋体"/>
                <w:bCs/>
                <w:szCs w:val="21"/>
              </w:rPr>
            </w:pPr>
            <w:r>
              <w:rPr>
                <w:rFonts w:hint="eastAsia" w:ascii="宋体" w:hAnsi="宋体" w:cs="宋体"/>
                <w:bCs/>
                <w:szCs w:val="21"/>
              </w:rPr>
              <w:t>1.9</w:t>
            </w:r>
          </w:p>
        </w:tc>
        <w:tc>
          <w:tcPr>
            <w:tcW w:w="2022" w:type="dxa"/>
            <w:tcBorders>
              <w:top w:val="single" w:color="auto" w:sz="4" w:space="0"/>
              <w:left w:val="single" w:color="auto" w:sz="4" w:space="0"/>
              <w:bottom w:val="single" w:color="auto" w:sz="4" w:space="0"/>
              <w:right w:val="single" w:color="auto" w:sz="4" w:space="0"/>
            </w:tcBorders>
            <w:vAlign w:val="center"/>
          </w:tcPr>
          <w:p w14:paraId="7080B97D">
            <w:pPr>
              <w:jc w:val="center"/>
              <w:rPr>
                <w:rFonts w:ascii="宋体" w:hAnsi="宋体" w:cs="宋体"/>
                <w:bCs/>
                <w:szCs w:val="21"/>
              </w:rPr>
            </w:pPr>
            <w:r>
              <w:rPr>
                <w:rFonts w:hint="eastAsia" w:ascii="宋体" w:hAnsi="宋体" w:cs="宋体"/>
                <w:bCs/>
                <w:szCs w:val="21"/>
              </w:rPr>
              <w:t>踏勘现场</w:t>
            </w:r>
          </w:p>
        </w:tc>
        <w:tc>
          <w:tcPr>
            <w:tcW w:w="6216" w:type="dxa"/>
            <w:tcBorders>
              <w:top w:val="single" w:color="auto" w:sz="4" w:space="0"/>
              <w:left w:val="single" w:color="auto" w:sz="4" w:space="0"/>
              <w:bottom w:val="single" w:color="auto" w:sz="4" w:space="0"/>
              <w:right w:val="single" w:color="auto" w:sz="4" w:space="0"/>
            </w:tcBorders>
            <w:vAlign w:val="center"/>
          </w:tcPr>
          <w:p w14:paraId="66A0A25B">
            <w:pPr>
              <w:rPr>
                <w:rFonts w:ascii="宋体" w:hAnsi="宋体" w:cs="宋体"/>
                <w:bCs/>
                <w:szCs w:val="21"/>
              </w:rPr>
            </w:pPr>
            <w:r>
              <w:rPr>
                <w:rFonts w:hint="eastAsia" w:ascii="宋体" w:hAnsi="宋体" w:cs="宋体"/>
                <w:szCs w:val="21"/>
              </w:rPr>
              <w:fldChar w:fldCharType="begin"/>
            </w:r>
            <w:r>
              <w:rPr>
                <w:rFonts w:hint="eastAsia" w:ascii="宋体" w:hAnsi="宋体" w:cs="宋体"/>
                <w:szCs w:val="21"/>
              </w:rPr>
              <w:instrText xml:space="preserve"> eq \o\ac(</w:instrText>
            </w:r>
            <w:r>
              <w:rPr>
                <w:rFonts w:hint="eastAsia" w:ascii="宋体" w:hAnsi="宋体" w:cs="宋体"/>
                <w:position w:val="-4"/>
                <w:sz w:val="31"/>
                <w:szCs w:val="21"/>
              </w:rPr>
              <w:instrText xml:space="preserve">□</w:instrText>
            </w:r>
            <w:r>
              <w:rPr>
                <w:rFonts w:hint="eastAsia" w:ascii="宋体" w:hAnsi="宋体" w:cs="宋体"/>
                <w:szCs w:val="21"/>
              </w:rPr>
              <w:instrText xml:space="preserve">,√)</w:instrText>
            </w:r>
            <w:r>
              <w:rPr>
                <w:rFonts w:hint="eastAsia" w:ascii="宋体" w:hAnsi="宋体" w:cs="宋体"/>
                <w:szCs w:val="21"/>
              </w:rPr>
              <w:fldChar w:fldCharType="end"/>
            </w:r>
            <w:r>
              <w:rPr>
                <w:rFonts w:hint="eastAsia" w:ascii="宋体" w:hAnsi="宋体" w:cs="宋体"/>
                <w:bCs/>
                <w:szCs w:val="21"/>
              </w:rPr>
              <w:t>不组织</w:t>
            </w:r>
          </w:p>
        </w:tc>
      </w:tr>
      <w:tr w14:paraId="6F74D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412E6F9">
            <w:pPr>
              <w:jc w:val="center"/>
              <w:rPr>
                <w:rFonts w:ascii="宋体" w:hAnsi="宋体" w:cs="宋体"/>
                <w:bCs/>
                <w:szCs w:val="21"/>
              </w:rPr>
            </w:pPr>
            <w:r>
              <w:rPr>
                <w:rFonts w:hint="eastAsia" w:ascii="宋体" w:hAnsi="宋体" w:cs="宋体"/>
                <w:bCs/>
                <w:szCs w:val="21"/>
              </w:rPr>
              <w:t>1.10</w:t>
            </w:r>
          </w:p>
        </w:tc>
        <w:tc>
          <w:tcPr>
            <w:tcW w:w="2022" w:type="dxa"/>
            <w:tcBorders>
              <w:top w:val="single" w:color="auto" w:sz="4" w:space="0"/>
              <w:left w:val="single" w:color="auto" w:sz="4" w:space="0"/>
              <w:bottom w:val="single" w:color="auto" w:sz="4" w:space="0"/>
              <w:right w:val="single" w:color="auto" w:sz="4" w:space="0"/>
            </w:tcBorders>
            <w:vAlign w:val="center"/>
          </w:tcPr>
          <w:p w14:paraId="2362F621">
            <w:pPr>
              <w:jc w:val="center"/>
              <w:rPr>
                <w:rFonts w:ascii="宋体" w:hAnsi="宋体" w:cs="宋体"/>
                <w:bCs/>
                <w:szCs w:val="21"/>
              </w:rPr>
            </w:pPr>
            <w:r>
              <w:rPr>
                <w:rFonts w:hint="eastAsia" w:ascii="宋体" w:hAnsi="宋体" w:cs="宋体"/>
                <w:bCs/>
                <w:szCs w:val="21"/>
              </w:rPr>
              <w:t>磋商预备会</w:t>
            </w:r>
          </w:p>
        </w:tc>
        <w:tc>
          <w:tcPr>
            <w:tcW w:w="6216" w:type="dxa"/>
            <w:tcBorders>
              <w:top w:val="single" w:color="auto" w:sz="4" w:space="0"/>
              <w:left w:val="single" w:color="auto" w:sz="4" w:space="0"/>
              <w:bottom w:val="single" w:color="auto" w:sz="4" w:space="0"/>
              <w:right w:val="single" w:color="auto" w:sz="4" w:space="0"/>
            </w:tcBorders>
            <w:vAlign w:val="center"/>
          </w:tcPr>
          <w:p w14:paraId="78DC37BC">
            <w:pPr>
              <w:rPr>
                <w:rFonts w:ascii="宋体" w:hAnsi="宋体" w:cs="宋体"/>
                <w:bCs/>
                <w:szCs w:val="21"/>
              </w:rPr>
            </w:pPr>
            <w:r>
              <w:rPr>
                <w:rFonts w:hint="eastAsia" w:ascii="宋体" w:hAnsi="宋体" w:cs="宋体"/>
                <w:szCs w:val="21"/>
              </w:rPr>
              <w:fldChar w:fldCharType="begin"/>
            </w:r>
            <w:r>
              <w:rPr>
                <w:rFonts w:hint="eastAsia" w:ascii="宋体" w:hAnsi="宋体" w:cs="宋体"/>
                <w:szCs w:val="21"/>
              </w:rPr>
              <w:instrText xml:space="preserve"> eq \o\ac(</w:instrText>
            </w:r>
            <w:r>
              <w:rPr>
                <w:rFonts w:hint="eastAsia" w:ascii="宋体" w:hAnsi="宋体" w:cs="宋体"/>
                <w:position w:val="-4"/>
                <w:sz w:val="31"/>
                <w:szCs w:val="21"/>
              </w:rPr>
              <w:instrText xml:space="preserve">□</w:instrText>
            </w:r>
            <w:r>
              <w:rPr>
                <w:rFonts w:hint="eastAsia" w:ascii="宋体" w:hAnsi="宋体" w:cs="宋体"/>
                <w:szCs w:val="21"/>
              </w:rPr>
              <w:instrText xml:space="preserve">,√)</w:instrText>
            </w:r>
            <w:r>
              <w:rPr>
                <w:rFonts w:hint="eastAsia" w:ascii="宋体" w:hAnsi="宋体" w:cs="宋体"/>
                <w:szCs w:val="21"/>
              </w:rPr>
              <w:fldChar w:fldCharType="end"/>
            </w:r>
            <w:r>
              <w:rPr>
                <w:rFonts w:hint="eastAsia" w:ascii="宋体" w:hAnsi="宋体" w:cs="宋体"/>
                <w:bCs/>
                <w:szCs w:val="21"/>
              </w:rPr>
              <w:t>不召开</w:t>
            </w:r>
          </w:p>
        </w:tc>
      </w:tr>
      <w:tr w14:paraId="4B9F9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DF4982D">
            <w:pPr>
              <w:jc w:val="center"/>
              <w:rPr>
                <w:rFonts w:ascii="宋体" w:hAnsi="宋体" w:cs="宋体"/>
                <w:bCs/>
                <w:szCs w:val="21"/>
              </w:rPr>
            </w:pPr>
            <w:r>
              <w:rPr>
                <w:rFonts w:hint="eastAsia" w:ascii="宋体" w:hAnsi="宋体" w:cs="宋体"/>
                <w:bCs/>
                <w:szCs w:val="21"/>
              </w:rPr>
              <w:t>1.11</w:t>
            </w:r>
          </w:p>
        </w:tc>
        <w:tc>
          <w:tcPr>
            <w:tcW w:w="2022" w:type="dxa"/>
            <w:tcBorders>
              <w:top w:val="single" w:color="auto" w:sz="4" w:space="0"/>
              <w:left w:val="single" w:color="auto" w:sz="4" w:space="0"/>
              <w:bottom w:val="single" w:color="auto" w:sz="4" w:space="0"/>
              <w:right w:val="single" w:color="auto" w:sz="4" w:space="0"/>
            </w:tcBorders>
            <w:vAlign w:val="center"/>
          </w:tcPr>
          <w:p w14:paraId="07AC1379">
            <w:pPr>
              <w:jc w:val="center"/>
              <w:rPr>
                <w:rFonts w:ascii="宋体" w:hAnsi="宋体" w:cs="宋体"/>
                <w:bCs/>
                <w:szCs w:val="21"/>
              </w:rPr>
            </w:pPr>
            <w:r>
              <w:rPr>
                <w:rFonts w:hint="eastAsia" w:ascii="宋体" w:hAnsi="宋体" w:cs="宋体"/>
                <w:bCs/>
                <w:szCs w:val="21"/>
              </w:rPr>
              <w:t>分包</w:t>
            </w:r>
          </w:p>
        </w:tc>
        <w:tc>
          <w:tcPr>
            <w:tcW w:w="6216" w:type="dxa"/>
            <w:tcBorders>
              <w:top w:val="single" w:color="auto" w:sz="4" w:space="0"/>
              <w:left w:val="single" w:color="auto" w:sz="4" w:space="0"/>
              <w:bottom w:val="single" w:color="auto" w:sz="4" w:space="0"/>
              <w:right w:val="single" w:color="auto" w:sz="4" w:space="0"/>
            </w:tcBorders>
            <w:vAlign w:val="center"/>
          </w:tcPr>
          <w:p w14:paraId="1705AAD6">
            <w:pPr>
              <w:rPr>
                <w:rFonts w:ascii="宋体" w:hAnsi="宋体" w:cs="宋体"/>
                <w:bCs/>
                <w:szCs w:val="21"/>
              </w:rPr>
            </w:pPr>
            <w:r>
              <w:rPr>
                <w:rFonts w:hint="eastAsia" w:ascii="宋体" w:hAnsi="宋体" w:cs="宋体"/>
                <w:szCs w:val="21"/>
              </w:rPr>
              <w:fldChar w:fldCharType="begin"/>
            </w:r>
            <w:r>
              <w:rPr>
                <w:rFonts w:hint="eastAsia" w:ascii="宋体" w:hAnsi="宋体" w:cs="宋体"/>
                <w:szCs w:val="21"/>
              </w:rPr>
              <w:instrText xml:space="preserve"> eq \o\ac(</w:instrText>
            </w:r>
            <w:r>
              <w:rPr>
                <w:rFonts w:hint="eastAsia" w:ascii="宋体" w:hAnsi="宋体" w:cs="宋体"/>
                <w:position w:val="-4"/>
                <w:sz w:val="31"/>
                <w:szCs w:val="21"/>
              </w:rPr>
              <w:instrText xml:space="preserve">□</w:instrText>
            </w:r>
            <w:r>
              <w:rPr>
                <w:rFonts w:hint="eastAsia" w:ascii="宋体" w:hAnsi="宋体" w:cs="宋体"/>
                <w:szCs w:val="21"/>
              </w:rPr>
              <w:instrText xml:space="preserve">,√)</w:instrText>
            </w:r>
            <w:r>
              <w:rPr>
                <w:rFonts w:hint="eastAsia" w:ascii="宋体" w:hAnsi="宋体" w:cs="宋体"/>
                <w:szCs w:val="21"/>
              </w:rPr>
              <w:fldChar w:fldCharType="end"/>
            </w:r>
            <w:r>
              <w:rPr>
                <w:rFonts w:hint="eastAsia" w:ascii="宋体" w:hAnsi="宋体" w:cs="宋体"/>
                <w:szCs w:val="21"/>
              </w:rPr>
              <w:t>不</w:t>
            </w:r>
            <w:r>
              <w:rPr>
                <w:rFonts w:hint="eastAsia" w:ascii="宋体" w:hAnsi="宋体" w:cs="宋体"/>
                <w:bCs/>
                <w:szCs w:val="21"/>
              </w:rPr>
              <w:t>允许</w:t>
            </w:r>
          </w:p>
        </w:tc>
      </w:tr>
      <w:tr w14:paraId="4B069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3F0506F">
            <w:pPr>
              <w:jc w:val="center"/>
              <w:rPr>
                <w:rFonts w:ascii="宋体" w:hAnsi="宋体" w:cs="宋体"/>
                <w:bCs/>
                <w:szCs w:val="21"/>
              </w:rPr>
            </w:pPr>
            <w:r>
              <w:rPr>
                <w:rFonts w:hint="eastAsia" w:ascii="宋体" w:hAnsi="宋体" w:cs="宋体"/>
                <w:bCs/>
                <w:szCs w:val="21"/>
              </w:rPr>
              <w:t>1.12</w:t>
            </w:r>
          </w:p>
        </w:tc>
        <w:tc>
          <w:tcPr>
            <w:tcW w:w="2022" w:type="dxa"/>
            <w:tcBorders>
              <w:top w:val="single" w:color="auto" w:sz="4" w:space="0"/>
              <w:left w:val="single" w:color="auto" w:sz="4" w:space="0"/>
              <w:bottom w:val="single" w:color="auto" w:sz="4" w:space="0"/>
              <w:right w:val="single" w:color="auto" w:sz="4" w:space="0"/>
            </w:tcBorders>
            <w:vAlign w:val="center"/>
          </w:tcPr>
          <w:p w14:paraId="2C188EC6">
            <w:pPr>
              <w:jc w:val="center"/>
              <w:rPr>
                <w:rFonts w:ascii="宋体" w:hAnsi="宋体" w:cs="宋体"/>
                <w:bCs/>
                <w:szCs w:val="21"/>
              </w:rPr>
            </w:pPr>
            <w:r>
              <w:rPr>
                <w:rFonts w:hint="eastAsia" w:ascii="宋体" w:hAnsi="宋体" w:cs="宋体"/>
                <w:bCs/>
                <w:szCs w:val="21"/>
              </w:rPr>
              <w:t>偏离</w:t>
            </w:r>
          </w:p>
        </w:tc>
        <w:tc>
          <w:tcPr>
            <w:tcW w:w="6216" w:type="dxa"/>
            <w:tcBorders>
              <w:top w:val="single" w:color="auto" w:sz="4" w:space="0"/>
              <w:left w:val="single" w:color="auto" w:sz="4" w:space="0"/>
              <w:bottom w:val="single" w:color="auto" w:sz="4" w:space="0"/>
              <w:right w:val="single" w:color="auto" w:sz="4" w:space="0"/>
            </w:tcBorders>
            <w:vAlign w:val="center"/>
          </w:tcPr>
          <w:p w14:paraId="23FE5CDD">
            <w:pPr>
              <w:rPr>
                <w:rFonts w:ascii="宋体" w:hAnsi="宋体" w:cs="宋体"/>
                <w:bCs/>
                <w:szCs w:val="21"/>
              </w:rPr>
            </w:pPr>
            <w:r>
              <w:rPr>
                <w:rFonts w:hint="eastAsia" w:ascii="宋体" w:hAnsi="宋体" w:cs="宋体"/>
                <w:szCs w:val="21"/>
              </w:rPr>
              <w:t>除实质性响应条款外，其他条款</w:t>
            </w:r>
            <w:r>
              <w:rPr>
                <w:rFonts w:hint="eastAsia" w:ascii="宋体" w:hAnsi="宋体" w:cs="宋体"/>
                <w:bCs/>
                <w:szCs w:val="21"/>
              </w:rPr>
              <w:t>允许偏离。</w:t>
            </w:r>
          </w:p>
        </w:tc>
      </w:tr>
      <w:tr w14:paraId="6B3A2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0E6EE38">
            <w:pPr>
              <w:jc w:val="center"/>
              <w:rPr>
                <w:rFonts w:ascii="宋体" w:hAnsi="宋体" w:cs="宋体"/>
                <w:bCs/>
                <w:szCs w:val="21"/>
              </w:rPr>
            </w:pPr>
            <w:r>
              <w:rPr>
                <w:rFonts w:hint="eastAsia" w:ascii="宋体" w:hAnsi="宋体" w:cs="宋体"/>
                <w:bCs/>
                <w:szCs w:val="21"/>
              </w:rPr>
              <w:t>2.2.1</w:t>
            </w:r>
          </w:p>
        </w:tc>
        <w:tc>
          <w:tcPr>
            <w:tcW w:w="2022" w:type="dxa"/>
            <w:tcBorders>
              <w:top w:val="single" w:color="auto" w:sz="4" w:space="0"/>
              <w:left w:val="single" w:color="auto" w:sz="4" w:space="0"/>
              <w:bottom w:val="single" w:color="auto" w:sz="4" w:space="0"/>
              <w:right w:val="single" w:color="auto" w:sz="4" w:space="0"/>
            </w:tcBorders>
            <w:vAlign w:val="center"/>
          </w:tcPr>
          <w:p w14:paraId="12DA04CC">
            <w:pPr>
              <w:jc w:val="center"/>
              <w:rPr>
                <w:rFonts w:ascii="宋体" w:hAnsi="宋体" w:cs="宋体"/>
                <w:bCs/>
                <w:szCs w:val="21"/>
              </w:rPr>
            </w:pPr>
            <w:r>
              <w:rPr>
                <w:rFonts w:hint="eastAsia" w:ascii="宋体" w:hAnsi="宋体" w:cs="宋体"/>
                <w:bCs/>
                <w:szCs w:val="21"/>
              </w:rPr>
              <w:t>供应商对采购文件提出质疑的截止时间</w:t>
            </w:r>
          </w:p>
        </w:tc>
        <w:tc>
          <w:tcPr>
            <w:tcW w:w="6216" w:type="dxa"/>
            <w:tcBorders>
              <w:top w:val="single" w:color="auto" w:sz="4" w:space="0"/>
              <w:left w:val="single" w:color="auto" w:sz="4" w:space="0"/>
              <w:bottom w:val="single" w:color="auto" w:sz="4" w:space="0"/>
              <w:right w:val="single" w:color="auto" w:sz="4" w:space="0"/>
            </w:tcBorders>
            <w:vAlign w:val="center"/>
          </w:tcPr>
          <w:p w14:paraId="306D0DB0">
            <w:pPr>
              <w:rPr>
                <w:rFonts w:ascii="宋体" w:hAnsi="宋体" w:cs="宋体"/>
                <w:bCs/>
                <w:szCs w:val="21"/>
              </w:rPr>
            </w:pPr>
            <w:r>
              <w:rPr>
                <w:rFonts w:hint="eastAsia" w:ascii="宋体" w:hAnsi="宋体" w:cs="宋体"/>
                <w:bCs/>
                <w:szCs w:val="21"/>
              </w:rPr>
              <w:t>在获取采购文件或者采购文件公告期限届满之日起7个工作日内一次性提出针对同一采购程序环节的采购文件提出质疑。</w:t>
            </w:r>
          </w:p>
        </w:tc>
      </w:tr>
      <w:tr w14:paraId="50677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ABBBE97">
            <w:pPr>
              <w:jc w:val="center"/>
              <w:rPr>
                <w:rFonts w:ascii="宋体" w:hAnsi="宋体" w:cs="宋体"/>
                <w:bCs/>
                <w:szCs w:val="21"/>
              </w:rPr>
            </w:pPr>
            <w:r>
              <w:rPr>
                <w:rFonts w:hint="eastAsia" w:ascii="宋体" w:hAnsi="宋体" w:cs="宋体"/>
                <w:bCs/>
                <w:szCs w:val="21"/>
              </w:rPr>
              <w:t>2.3.1</w:t>
            </w:r>
          </w:p>
        </w:tc>
        <w:tc>
          <w:tcPr>
            <w:tcW w:w="2022" w:type="dxa"/>
            <w:tcBorders>
              <w:top w:val="single" w:color="auto" w:sz="4" w:space="0"/>
              <w:left w:val="single" w:color="auto" w:sz="4" w:space="0"/>
              <w:bottom w:val="single" w:color="auto" w:sz="4" w:space="0"/>
              <w:right w:val="single" w:color="auto" w:sz="4" w:space="0"/>
            </w:tcBorders>
            <w:vAlign w:val="center"/>
          </w:tcPr>
          <w:p w14:paraId="2C5F7297">
            <w:pPr>
              <w:jc w:val="center"/>
              <w:rPr>
                <w:rFonts w:ascii="宋体" w:hAnsi="宋体" w:cs="宋体"/>
                <w:bCs/>
                <w:szCs w:val="21"/>
              </w:rPr>
            </w:pPr>
            <w:r>
              <w:rPr>
                <w:rFonts w:hint="eastAsia" w:ascii="宋体" w:hAnsi="宋体" w:cs="宋体"/>
                <w:bCs/>
                <w:szCs w:val="21"/>
              </w:rPr>
              <w:t>澄清或修改截止时间</w:t>
            </w:r>
          </w:p>
        </w:tc>
        <w:tc>
          <w:tcPr>
            <w:tcW w:w="6216" w:type="dxa"/>
            <w:tcBorders>
              <w:top w:val="single" w:color="auto" w:sz="4" w:space="0"/>
              <w:left w:val="single" w:color="auto" w:sz="4" w:space="0"/>
              <w:bottom w:val="single" w:color="auto" w:sz="4" w:space="0"/>
              <w:right w:val="single" w:color="auto" w:sz="4" w:space="0"/>
            </w:tcBorders>
            <w:vAlign w:val="center"/>
          </w:tcPr>
          <w:p w14:paraId="52FBD872">
            <w:pPr>
              <w:rPr>
                <w:rFonts w:ascii="宋体" w:hAnsi="宋体" w:cs="宋体"/>
                <w:bCs/>
                <w:szCs w:val="21"/>
              </w:rPr>
            </w:pPr>
            <w:r>
              <w:rPr>
                <w:rFonts w:hint="eastAsia" w:ascii="宋体" w:hAnsi="宋体" w:cs="宋体"/>
                <w:bCs/>
                <w:szCs w:val="21"/>
              </w:rPr>
              <w:t>响应文件截至递交前5日</w:t>
            </w:r>
          </w:p>
        </w:tc>
      </w:tr>
      <w:tr w14:paraId="7D5A3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388C96A">
            <w:pPr>
              <w:jc w:val="center"/>
              <w:rPr>
                <w:rFonts w:ascii="宋体" w:hAnsi="宋体" w:cs="宋体"/>
                <w:bCs/>
                <w:szCs w:val="21"/>
              </w:rPr>
            </w:pPr>
            <w:r>
              <w:rPr>
                <w:rFonts w:hint="eastAsia" w:ascii="宋体" w:hAnsi="宋体" w:cs="宋体"/>
                <w:bCs/>
                <w:szCs w:val="21"/>
              </w:rPr>
              <w:t>3.3</w:t>
            </w:r>
          </w:p>
        </w:tc>
        <w:tc>
          <w:tcPr>
            <w:tcW w:w="2022" w:type="dxa"/>
            <w:tcBorders>
              <w:top w:val="single" w:color="auto" w:sz="4" w:space="0"/>
              <w:left w:val="single" w:color="auto" w:sz="4" w:space="0"/>
              <w:bottom w:val="single" w:color="auto" w:sz="4" w:space="0"/>
              <w:right w:val="single" w:color="auto" w:sz="4" w:space="0"/>
            </w:tcBorders>
            <w:vAlign w:val="center"/>
          </w:tcPr>
          <w:p w14:paraId="72851D78">
            <w:pPr>
              <w:jc w:val="center"/>
              <w:rPr>
                <w:rFonts w:ascii="宋体" w:hAnsi="宋体" w:cs="宋体"/>
                <w:bCs/>
                <w:szCs w:val="21"/>
              </w:rPr>
            </w:pPr>
            <w:r>
              <w:rPr>
                <w:rFonts w:hint="eastAsia" w:ascii="宋体" w:hAnsi="宋体" w:cs="宋体"/>
                <w:bCs/>
                <w:szCs w:val="21"/>
              </w:rPr>
              <w:t>有效期</w:t>
            </w:r>
          </w:p>
        </w:tc>
        <w:tc>
          <w:tcPr>
            <w:tcW w:w="6216" w:type="dxa"/>
            <w:tcBorders>
              <w:top w:val="single" w:color="auto" w:sz="4" w:space="0"/>
              <w:left w:val="single" w:color="auto" w:sz="4" w:space="0"/>
              <w:bottom w:val="single" w:color="auto" w:sz="4" w:space="0"/>
              <w:right w:val="single" w:color="auto" w:sz="4" w:space="0"/>
            </w:tcBorders>
            <w:vAlign w:val="center"/>
          </w:tcPr>
          <w:p w14:paraId="7D35B3BF">
            <w:pPr>
              <w:rPr>
                <w:rFonts w:ascii="宋体" w:hAnsi="宋体" w:cs="宋体"/>
                <w:bCs/>
                <w:szCs w:val="21"/>
              </w:rPr>
            </w:pPr>
            <w:r>
              <w:rPr>
                <w:rFonts w:hint="eastAsia" w:ascii="宋体" w:hAnsi="宋体" w:cs="宋体"/>
                <w:bCs/>
                <w:szCs w:val="21"/>
              </w:rPr>
              <w:t>响应截止时间之日起90日历天</w:t>
            </w:r>
          </w:p>
        </w:tc>
      </w:tr>
      <w:tr w14:paraId="7A6DE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C5BEE3F">
            <w:pPr>
              <w:jc w:val="center"/>
              <w:rPr>
                <w:rFonts w:ascii="宋体" w:hAnsi="宋体" w:cs="宋体"/>
                <w:bCs/>
                <w:szCs w:val="21"/>
              </w:rPr>
            </w:pPr>
            <w:r>
              <w:rPr>
                <w:rFonts w:hint="eastAsia" w:ascii="宋体" w:hAnsi="宋体" w:cs="宋体"/>
                <w:bCs/>
                <w:szCs w:val="21"/>
              </w:rPr>
              <w:t>3.4</w:t>
            </w:r>
          </w:p>
        </w:tc>
        <w:tc>
          <w:tcPr>
            <w:tcW w:w="2022" w:type="dxa"/>
            <w:tcBorders>
              <w:top w:val="single" w:color="auto" w:sz="4" w:space="0"/>
              <w:left w:val="single" w:color="auto" w:sz="4" w:space="0"/>
              <w:bottom w:val="single" w:color="auto" w:sz="4" w:space="0"/>
              <w:right w:val="single" w:color="auto" w:sz="4" w:space="0"/>
            </w:tcBorders>
            <w:vAlign w:val="center"/>
          </w:tcPr>
          <w:p w14:paraId="58D18DDF">
            <w:pPr>
              <w:jc w:val="center"/>
              <w:rPr>
                <w:rFonts w:ascii="宋体" w:hAnsi="宋体" w:cs="宋体"/>
                <w:bCs/>
                <w:szCs w:val="21"/>
              </w:rPr>
            </w:pPr>
            <w:r>
              <w:rPr>
                <w:rFonts w:hint="eastAsia" w:ascii="宋体" w:hAnsi="宋体" w:cs="宋体"/>
                <w:bCs/>
                <w:szCs w:val="21"/>
              </w:rPr>
              <w:t>磋商保证金</w:t>
            </w:r>
          </w:p>
        </w:tc>
        <w:tc>
          <w:tcPr>
            <w:tcW w:w="6216" w:type="dxa"/>
            <w:tcBorders>
              <w:top w:val="single" w:color="auto" w:sz="4" w:space="0"/>
              <w:left w:val="single" w:color="auto" w:sz="4" w:space="0"/>
              <w:bottom w:val="single" w:color="auto" w:sz="4" w:space="0"/>
              <w:right w:val="single" w:color="auto" w:sz="4" w:space="0"/>
            </w:tcBorders>
            <w:vAlign w:val="center"/>
          </w:tcPr>
          <w:p w14:paraId="4851937F">
            <w:pPr>
              <w:rPr>
                <w:rFonts w:ascii="宋体" w:hAnsi="宋体" w:cs="宋体"/>
                <w:bCs/>
                <w:szCs w:val="21"/>
              </w:rPr>
            </w:pPr>
            <w:r>
              <w:rPr>
                <w:rFonts w:hint="eastAsia" w:ascii="宋体" w:hAnsi="宋体" w:cs="宋体"/>
                <w:szCs w:val="21"/>
              </w:rPr>
              <w:fldChar w:fldCharType="begin"/>
            </w:r>
            <w:r>
              <w:rPr>
                <w:rFonts w:hint="eastAsia" w:ascii="宋体" w:hAnsi="宋体" w:cs="宋体"/>
                <w:szCs w:val="21"/>
              </w:rPr>
              <w:instrText xml:space="preserve"> eq \o\ac(</w:instrText>
            </w:r>
            <w:r>
              <w:rPr>
                <w:rFonts w:hint="eastAsia" w:ascii="宋体" w:hAnsi="宋体" w:cs="宋体"/>
                <w:position w:val="-4"/>
                <w:sz w:val="31"/>
                <w:szCs w:val="21"/>
              </w:rPr>
              <w:instrText xml:space="preserve">□</w:instrText>
            </w:r>
            <w:r>
              <w:rPr>
                <w:rFonts w:hint="eastAsia" w:ascii="宋体" w:hAnsi="宋体" w:cs="宋体"/>
                <w:szCs w:val="21"/>
              </w:rPr>
              <w:instrText xml:space="preserve">,√)</w:instrText>
            </w:r>
            <w:r>
              <w:rPr>
                <w:rFonts w:hint="eastAsia" w:ascii="宋体" w:hAnsi="宋体" w:cs="宋体"/>
                <w:szCs w:val="21"/>
              </w:rPr>
              <w:fldChar w:fldCharType="end"/>
            </w:r>
            <w:r>
              <w:rPr>
                <w:rFonts w:hint="eastAsia" w:ascii="宋体" w:hAnsi="宋体" w:cs="宋体"/>
                <w:bCs/>
                <w:szCs w:val="21"/>
              </w:rPr>
              <w:t>不提交</w:t>
            </w:r>
          </w:p>
        </w:tc>
      </w:tr>
      <w:tr w14:paraId="44D75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7292390">
            <w:pPr>
              <w:jc w:val="center"/>
              <w:rPr>
                <w:rFonts w:ascii="宋体" w:hAnsi="宋体" w:cs="宋体"/>
                <w:bCs/>
                <w:szCs w:val="21"/>
              </w:rPr>
            </w:pPr>
            <w:r>
              <w:rPr>
                <w:rFonts w:hint="eastAsia" w:ascii="宋体" w:hAnsi="宋体" w:cs="宋体"/>
                <w:bCs/>
                <w:szCs w:val="21"/>
              </w:rPr>
              <w:t>3.6</w:t>
            </w:r>
          </w:p>
        </w:tc>
        <w:tc>
          <w:tcPr>
            <w:tcW w:w="2022" w:type="dxa"/>
            <w:tcBorders>
              <w:top w:val="single" w:color="auto" w:sz="4" w:space="0"/>
              <w:left w:val="single" w:color="auto" w:sz="4" w:space="0"/>
              <w:bottom w:val="single" w:color="auto" w:sz="4" w:space="0"/>
              <w:right w:val="single" w:color="auto" w:sz="4" w:space="0"/>
            </w:tcBorders>
            <w:vAlign w:val="center"/>
          </w:tcPr>
          <w:p w14:paraId="3C2B9F77">
            <w:pPr>
              <w:jc w:val="center"/>
              <w:rPr>
                <w:rFonts w:ascii="宋体" w:hAnsi="宋体" w:cs="宋体"/>
                <w:bCs/>
                <w:szCs w:val="21"/>
              </w:rPr>
            </w:pPr>
            <w:r>
              <w:rPr>
                <w:rFonts w:hint="eastAsia" w:ascii="宋体" w:hAnsi="宋体" w:cs="宋体"/>
                <w:bCs/>
                <w:szCs w:val="21"/>
              </w:rPr>
              <w:t>是否允许递交备选方案</w:t>
            </w:r>
          </w:p>
        </w:tc>
        <w:tc>
          <w:tcPr>
            <w:tcW w:w="6216" w:type="dxa"/>
            <w:tcBorders>
              <w:top w:val="single" w:color="auto" w:sz="4" w:space="0"/>
              <w:left w:val="single" w:color="auto" w:sz="4" w:space="0"/>
              <w:bottom w:val="single" w:color="auto" w:sz="4" w:space="0"/>
              <w:right w:val="single" w:color="auto" w:sz="4" w:space="0"/>
            </w:tcBorders>
            <w:vAlign w:val="center"/>
          </w:tcPr>
          <w:p w14:paraId="08652B1C">
            <w:pPr>
              <w:rPr>
                <w:rFonts w:ascii="宋体" w:hAnsi="宋体" w:cs="宋体"/>
                <w:bCs/>
                <w:szCs w:val="21"/>
              </w:rPr>
            </w:pPr>
            <w:r>
              <w:rPr>
                <w:rFonts w:hint="eastAsia" w:ascii="宋体" w:hAnsi="宋体" w:cs="宋体"/>
                <w:szCs w:val="21"/>
              </w:rPr>
              <w:fldChar w:fldCharType="begin"/>
            </w:r>
            <w:r>
              <w:rPr>
                <w:rFonts w:hint="eastAsia" w:ascii="宋体" w:hAnsi="宋体" w:cs="宋体"/>
                <w:szCs w:val="21"/>
              </w:rPr>
              <w:instrText xml:space="preserve"> eq \o\ac(</w:instrText>
            </w:r>
            <w:r>
              <w:rPr>
                <w:rFonts w:hint="eastAsia" w:ascii="宋体" w:hAnsi="宋体" w:cs="宋体"/>
                <w:position w:val="-4"/>
                <w:sz w:val="31"/>
                <w:szCs w:val="21"/>
              </w:rPr>
              <w:instrText xml:space="preserve">□</w:instrText>
            </w:r>
            <w:r>
              <w:rPr>
                <w:rFonts w:hint="eastAsia" w:ascii="宋体" w:hAnsi="宋体" w:cs="宋体"/>
                <w:szCs w:val="21"/>
              </w:rPr>
              <w:instrText xml:space="preserve">,√)</w:instrText>
            </w:r>
            <w:r>
              <w:rPr>
                <w:rFonts w:hint="eastAsia" w:ascii="宋体" w:hAnsi="宋体" w:cs="宋体"/>
                <w:szCs w:val="21"/>
              </w:rPr>
              <w:fldChar w:fldCharType="end"/>
            </w:r>
            <w:r>
              <w:rPr>
                <w:rFonts w:hint="eastAsia" w:ascii="宋体" w:hAnsi="宋体" w:cs="宋体"/>
                <w:bCs/>
                <w:szCs w:val="21"/>
              </w:rPr>
              <w:t>不允许</w:t>
            </w:r>
          </w:p>
        </w:tc>
      </w:tr>
      <w:tr w14:paraId="48F64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AE19741">
            <w:pPr>
              <w:jc w:val="center"/>
              <w:rPr>
                <w:rFonts w:ascii="宋体" w:hAnsi="宋体" w:cs="宋体"/>
                <w:bCs/>
                <w:szCs w:val="21"/>
              </w:rPr>
            </w:pPr>
            <w:r>
              <w:rPr>
                <w:rFonts w:hint="eastAsia" w:ascii="宋体" w:hAnsi="宋体" w:cs="宋体"/>
                <w:bCs/>
                <w:szCs w:val="21"/>
              </w:rPr>
              <w:t>3.7.3</w:t>
            </w:r>
          </w:p>
        </w:tc>
        <w:tc>
          <w:tcPr>
            <w:tcW w:w="2022" w:type="dxa"/>
            <w:tcBorders>
              <w:top w:val="single" w:color="auto" w:sz="4" w:space="0"/>
              <w:left w:val="single" w:color="auto" w:sz="4" w:space="0"/>
              <w:bottom w:val="single" w:color="auto" w:sz="4" w:space="0"/>
              <w:right w:val="single" w:color="auto" w:sz="4" w:space="0"/>
            </w:tcBorders>
            <w:vAlign w:val="center"/>
          </w:tcPr>
          <w:p w14:paraId="0CB4760D">
            <w:pPr>
              <w:jc w:val="center"/>
              <w:rPr>
                <w:rFonts w:ascii="宋体" w:hAnsi="宋体" w:cs="宋体"/>
                <w:bCs/>
                <w:szCs w:val="21"/>
              </w:rPr>
            </w:pPr>
            <w:r>
              <w:rPr>
                <w:rFonts w:hint="eastAsia" w:ascii="宋体" w:hAnsi="宋体" w:cs="宋体"/>
                <w:bCs/>
                <w:szCs w:val="21"/>
              </w:rPr>
              <w:t>签字和（或）盖章要求</w:t>
            </w:r>
          </w:p>
        </w:tc>
        <w:tc>
          <w:tcPr>
            <w:tcW w:w="6216" w:type="dxa"/>
            <w:tcBorders>
              <w:top w:val="single" w:color="auto" w:sz="4" w:space="0"/>
              <w:left w:val="single" w:color="auto" w:sz="4" w:space="0"/>
              <w:bottom w:val="single" w:color="auto" w:sz="4" w:space="0"/>
              <w:right w:val="single" w:color="auto" w:sz="4" w:space="0"/>
            </w:tcBorders>
            <w:vAlign w:val="center"/>
          </w:tcPr>
          <w:p w14:paraId="77093142">
            <w:pPr>
              <w:rPr>
                <w:rFonts w:ascii="宋体" w:hAnsi="宋体" w:cs="宋体"/>
                <w:bCs/>
                <w:szCs w:val="21"/>
              </w:rPr>
            </w:pPr>
            <w:r>
              <w:rPr>
                <w:rFonts w:hint="eastAsia" w:ascii="宋体" w:hAnsi="宋体" w:cs="宋体"/>
                <w:bCs/>
                <w:szCs w:val="21"/>
              </w:rPr>
              <w:t>在规定签字处签字，规定盖章处盖章。</w:t>
            </w:r>
          </w:p>
        </w:tc>
      </w:tr>
      <w:tr w14:paraId="6B10A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C605237">
            <w:pPr>
              <w:jc w:val="center"/>
              <w:rPr>
                <w:rFonts w:ascii="宋体" w:hAnsi="宋体" w:cs="宋体"/>
                <w:bCs/>
                <w:szCs w:val="21"/>
              </w:rPr>
            </w:pPr>
            <w:r>
              <w:rPr>
                <w:rFonts w:hint="eastAsia" w:ascii="宋体" w:hAnsi="宋体" w:cs="宋体"/>
                <w:bCs/>
                <w:szCs w:val="21"/>
              </w:rPr>
              <w:t>3.7.5</w:t>
            </w:r>
          </w:p>
        </w:tc>
        <w:tc>
          <w:tcPr>
            <w:tcW w:w="2022" w:type="dxa"/>
            <w:tcBorders>
              <w:top w:val="single" w:color="auto" w:sz="4" w:space="0"/>
              <w:left w:val="single" w:color="auto" w:sz="4" w:space="0"/>
              <w:bottom w:val="single" w:color="auto" w:sz="4" w:space="0"/>
              <w:right w:val="single" w:color="auto" w:sz="4" w:space="0"/>
            </w:tcBorders>
            <w:vAlign w:val="center"/>
          </w:tcPr>
          <w:p w14:paraId="1C690923">
            <w:pPr>
              <w:jc w:val="center"/>
              <w:rPr>
                <w:rFonts w:ascii="宋体" w:hAnsi="宋体" w:cs="宋体"/>
                <w:bCs/>
                <w:szCs w:val="21"/>
              </w:rPr>
            </w:pPr>
            <w:r>
              <w:rPr>
                <w:rFonts w:hint="eastAsia" w:ascii="宋体" w:hAnsi="宋体" w:cs="宋体"/>
                <w:bCs/>
                <w:szCs w:val="21"/>
              </w:rPr>
              <w:t>是否要求供应商在递交响应文件时，同时递交响应文件电子版</w:t>
            </w:r>
          </w:p>
        </w:tc>
        <w:tc>
          <w:tcPr>
            <w:tcW w:w="6216" w:type="dxa"/>
            <w:tcBorders>
              <w:top w:val="single" w:color="auto" w:sz="4" w:space="0"/>
              <w:left w:val="single" w:color="auto" w:sz="4" w:space="0"/>
              <w:bottom w:val="single" w:color="auto" w:sz="4" w:space="0"/>
              <w:right w:val="single" w:color="auto" w:sz="4" w:space="0"/>
            </w:tcBorders>
            <w:vAlign w:val="center"/>
          </w:tcPr>
          <w:p w14:paraId="1CA482F4">
            <w:pPr>
              <w:rPr>
                <w:rFonts w:ascii="宋体" w:hAnsi="宋体" w:cs="宋体"/>
                <w:bCs/>
                <w:szCs w:val="21"/>
              </w:rPr>
            </w:pPr>
            <w:r>
              <w:rPr>
                <w:rFonts w:hint="eastAsia" w:ascii="宋体" w:hAnsi="宋体" w:cs="宋体"/>
                <w:bCs/>
                <w:szCs w:val="21"/>
              </w:rPr>
              <w:t>要求，提供U盘一张（WORD及响应文件正本盖章后的彩色扫描件，PDF格式），随响应文件一并提交。</w:t>
            </w:r>
          </w:p>
        </w:tc>
      </w:tr>
      <w:tr w14:paraId="2DB38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73F8FAC">
            <w:pPr>
              <w:jc w:val="center"/>
              <w:rPr>
                <w:rFonts w:ascii="宋体" w:hAnsi="宋体" w:cs="宋体"/>
                <w:bCs/>
                <w:szCs w:val="21"/>
              </w:rPr>
            </w:pPr>
            <w:r>
              <w:rPr>
                <w:rFonts w:hint="eastAsia" w:ascii="宋体" w:hAnsi="宋体" w:cs="宋体"/>
                <w:bCs/>
                <w:szCs w:val="21"/>
              </w:rPr>
              <w:t>3.7.6</w:t>
            </w:r>
          </w:p>
        </w:tc>
        <w:tc>
          <w:tcPr>
            <w:tcW w:w="2022" w:type="dxa"/>
            <w:tcBorders>
              <w:top w:val="single" w:color="auto" w:sz="4" w:space="0"/>
              <w:left w:val="single" w:color="auto" w:sz="4" w:space="0"/>
              <w:bottom w:val="single" w:color="auto" w:sz="4" w:space="0"/>
              <w:right w:val="single" w:color="auto" w:sz="4" w:space="0"/>
            </w:tcBorders>
            <w:vAlign w:val="center"/>
          </w:tcPr>
          <w:p w14:paraId="5CB31D1C">
            <w:pPr>
              <w:jc w:val="center"/>
              <w:rPr>
                <w:rFonts w:ascii="宋体" w:hAnsi="宋体" w:cs="宋体"/>
                <w:bCs/>
                <w:szCs w:val="21"/>
              </w:rPr>
            </w:pPr>
            <w:r>
              <w:rPr>
                <w:rFonts w:hint="eastAsia" w:ascii="宋体" w:hAnsi="宋体" w:cs="宋体"/>
                <w:bCs/>
                <w:szCs w:val="21"/>
              </w:rPr>
              <w:t>响应文件份数</w:t>
            </w:r>
          </w:p>
        </w:tc>
        <w:tc>
          <w:tcPr>
            <w:tcW w:w="6216" w:type="dxa"/>
            <w:tcBorders>
              <w:top w:val="single" w:color="auto" w:sz="4" w:space="0"/>
              <w:left w:val="single" w:color="auto" w:sz="4" w:space="0"/>
              <w:bottom w:val="single" w:color="auto" w:sz="4" w:space="0"/>
              <w:right w:val="single" w:color="auto" w:sz="4" w:space="0"/>
            </w:tcBorders>
            <w:vAlign w:val="center"/>
          </w:tcPr>
          <w:p w14:paraId="62A53598">
            <w:pPr>
              <w:numPr>
                <w:ilvl w:val="0"/>
                <w:numId w:val="20"/>
              </w:numPr>
              <w:rPr>
                <w:rFonts w:ascii="宋体" w:hAnsi="宋体" w:cs="宋体"/>
                <w:bCs/>
                <w:szCs w:val="21"/>
              </w:rPr>
            </w:pPr>
            <w:r>
              <w:rPr>
                <w:rFonts w:hint="eastAsia" w:ascii="宋体" w:hAnsi="宋体" w:cs="宋体"/>
                <w:bCs/>
                <w:szCs w:val="21"/>
              </w:rPr>
              <w:t>响应文件，正本一份，副本四份（A4纸打印,可分开胶装）。</w:t>
            </w:r>
          </w:p>
          <w:p w14:paraId="1F9026E5">
            <w:pPr>
              <w:numPr>
                <w:ilvl w:val="0"/>
                <w:numId w:val="20"/>
              </w:numPr>
              <w:rPr>
                <w:rFonts w:ascii="宋体" w:hAnsi="宋体" w:cs="宋体"/>
                <w:bCs/>
                <w:szCs w:val="21"/>
              </w:rPr>
            </w:pPr>
            <w:r>
              <w:rPr>
                <w:rFonts w:hint="eastAsia" w:ascii="宋体" w:hAnsi="宋体" w:cs="宋体"/>
                <w:bCs/>
                <w:szCs w:val="21"/>
              </w:rPr>
              <w:t>开标信封，一份。</w:t>
            </w:r>
          </w:p>
          <w:p w14:paraId="2D3FEE0C">
            <w:pPr>
              <w:numPr>
                <w:ilvl w:val="0"/>
                <w:numId w:val="20"/>
              </w:numPr>
              <w:rPr>
                <w:rFonts w:ascii="宋体" w:hAnsi="宋体" w:cs="宋体"/>
                <w:bCs/>
                <w:szCs w:val="21"/>
              </w:rPr>
            </w:pPr>
            <w:r>
              <w:rPr>
                <w:rFonts w:hint="eastAsia" w:ascii="宋体" w:hAnsi="宋体" w:cs="宋体"/>
                <w:bCs/>
                <w:szCs w:val="21"/>
              </w:rPr>
              <w:t>U盘一张。</w:t>
            </w:r>
          </w:p>
        </w:tc>
      </w:tr>
      <w:tr w14:paraId="5D721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F50CCD2">
            <w:pPr>
              <w:jc w:val="center"/>
              <w:rPr>
                <w:rFonts w:ascii="宋体" w:hAnsi="宋体" w:cs="宋体"/>
                <w:bCs/>
                <w:szCs w:val="21"/>
              </w:rPr>
            </w:pPr>
            <w:r>
              <w:rPr>
                <w:rFonts w:hint="eastAsia" w:ascii="宋体" w:hAnsi="宋体" w:cs="宋体"/>
                <w:bCs/>
                <w:szCs w:val="21"/>
              </w:rPr>
              <w:t>3.7.7</w:t>
            </w:r>
          </w:p>
        </w:tc>
        <w:tc>
          <w:tcPr>
            <w:tcW w:w="2022" w:type="dxa"/>
            <w:tcBorders>
              <w:top w:val="single" w:color="auto" w:sz="4" w:space="0"/>
              <w:left w:val="single" w:color="auto" w:sz="4" w:space="0"/>
              <w:bottom w:val="single" w:color="auto" w:sz="4" w:space="0"/>
              <w:right w:val="single" w:color="auto" w:sz="4" w:space="0"/>
            </w:tcBorders>
            <w:vAlign w:val="center"/>
          </w:tcPr>
          <w:p w14:paraId="7201520A">
            <w:pPr>
              <w:jc w:val="center"/>
              <w:rPr>
                <w:rFonts w:ascii="宋体" w:hAnsi="宋体" w:cs="宋体"/>
                <w:bCs/>
                <w:szCs w:val="21"/>
              </w:rPr>
            </w:pPr>
            <w:r>
              <w:rPr>
                <w:rFonts w:hint="eastAsia" w:ascii="宋体" w:hAnsi="宋体" w:cs="宋体"/>
                <w:bCs/>
                <w:szCs w:val="21"/>
              </w:rPr>
              <w:t>装订要求</w:t>
            </w:r>
          </w:p>
        </w:tc>
        <w:tc>
          <w:tcPr>
            <w:tcW w:w="6216" w:type="dxa"/>
            <w:tcBorders>
              <w:top w:val="single" w:color="auto" w:sz="4" w:space="0"/>
              <w:left w:val="single" w:color="auto" w:sz="4" w:space="0"/>
              <w:bottom w:val="single" w:color="auto" w:sz="4" w:space="0"/>
              <w:right w:val="single" w:color="auto" w:sz="4" w:space="0"/>
            </w:tcBorders>
            <w:vAlign w:val="center"/>
          </w:tcPr>
          <w:p w14:paraId="5E505D66">
            <w:pPr>
              <w:rPr>
                <w:rFonts w:ascii="宋体" w:hAnsi="宋体" w:cs="宋体"/>
                <w:bCs/>
                <w:szCs w:val="21"/>
              </w:rPr>
            </w:pPr>
            <w:r>
              <w:rPr>
                <w:rFonts w:hint="eastAsia" w:ascii="宋体" w:hAnsi="宋体" w:cs="宋体"/>
                <w:bCs/>
                <w:szCs w:val="21"/>
              </w:rPr>
              <w:t>1、响应文件的正本和所有副本，单独密封。</w:t>
            </w:r>
          </w:p>
          <w:p w14:paraId="7870BAC6">
            <w:pPr>
              <w:rPr>
                <w:rFonts w:ascii="宋体" w:hAnsi="宋体" w:cs="宋体"/>
                <w:bCs/>
                <w:szCs w:val="21"/>
              </w:rPr>
            </w:pPr>
            <w:r>
              <w:rPr>
                <w:rFonts w:hint="eastAsia" w:ascii="宋体" w:hAnsi="宋体" w:cs="宋体"/>
                <w:bCs/>
                <w:szCs w:val="21"/>
              </w:rPr>
              <w:t>2、开标信封，单独密封。</w:t>
            </w:r>
          </w:p>
          <w:p w14:paraId="3DE8F10E">
            <w:pPr>
              <w:rPr>
                <w:rFonts w:ascii="宋体" w:hAnsi="宋体" w:cs="宋体"/>
                <w:bCs/>
                <w:szCs w:val="21"/>
              </w:rPr>
            </w:pPr>
            <w:r>
              <w:rPr>
                <w:rFonts w:hint="eastAsia" w:ascii="宋体" w:hAnsi="宋体" w:cs="宋体"/>
                <w:bCs/>
                <w:szCs w:val="21"/>
              </w:rPr>
              <w:t>3、U盘，与开标信封一起密封。</w:t>
            </w:r>
          </w:p>
          <w:p w14:paraId="094390F9">
            <w:pPr>
              <w:rPr>
                <w:rFonts w:ascii="宋体" w:hAnsi="宋体" w:cs="宋体"/>
                <w:bCs/>
                <w:szCs w:val="21"/>
              </w:rPr>
            </w:pPr>
            <w:r>
              <w:rPr>
                <w:rFonts w:hint="eastAsia" w:ascii="宋体" w:hAnsi="宋体" w:cs="宋体"/>
                <w:bCs/>
                <w:szCs w:val="21"/>
              </w:rPr>
              <w:t>以上响应资料确保密封完好。</w:t>
            </w:r>
          </w:p>
        </w:tc>
      </w:tr>
      <w:tr w14:paraId="329DD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6F08151">
            <w:pPr>
              <w:jc w:val="center"/>
              <w:rPr>
                <w:rFonts w:ascii="宋体" w:hAnsi="宋体" w:cs="宋体"/>
                <w:bCs/>
                <w:szCs w:val="21"/>
              </w:rPr>
            </w:pPr>
            <w:r>
              <w:rPr>
                <w:rFonts w:hint="eastAsia" w:ascii="宋体" w:hAnsi="宋体" w:cs="宋体"/>
                <w:bCs/>
                <w:szCs w:val="21"/>
              </w:rPr>
              <w:t>4.1.2</w:t>
            </w:r>
          </w:p>
        </w:tc>
        <w:tc>
          <w:tcPr>
            <w:tcW w:w="2022" w:type="dxa"/>
            <w:tcBorders>
              <w:top w:val="single" w:color="auto" w:sz="4" w:space="0"/>
              <w:left w:val="single" w:color="auto" w:sz="4" w:space="0"/>
              <w:bottom w:val="single" w:color="auto" w:sz="4" w:space="0"/>
              <w:right w:val="single" w:color="auto" w:sz="4" w:space="0"/>
            </w:tcBorders>
            <w:vAlign w:val="center"/>
          </w:tcPr>
          <w:p w14:paraId="7F77EBA0">
            <w:pPr>
              <w:jc w:val="center"/>
              <w:rPr>
                <w:rFonts w:ascii="宋体" w:hAnsi="宋体" w:cs="宋体"/>
                <w:bCs/>
                <w:szCs w:val="21"/>
              </w:rPr>
            </w:pPr>
            <w:r>
              <w:rPr>
                <w:rFonts w:hint="eastAsia" w:ascii="宋体" w:hAnsi="宋体" w:cs="宋体"/>
                <w:bCs/>
                <w:szCs w:val="21"/>
              </w:rPr>
              <w:t>封套上写明</w:t>
            </w:r>
          </w:p>
        </w:tc>
        <w:tc>
          <w:tcPr>
            <w:tcW w:w="6216" w:type="dxa"/>
            <w:tcBorders>
              <w:top w:val="single" w:color="auto" w:sz="4" w:space="0"/>
              <w:left w:val="single" w:color="auto" w:sz="4" w:space="0"/>
              <w:bottom w:val="single" w:color="auto" w:sz="4" w:space="0"/>
              <w:right w:val="single" w:color="auto" w:sz="4" w:space="0"/>
            </w:tcBorders>
            <w:vAlign w:val="center"/>
          </w:tcPr>
          <w:p w14:paraId="353D00CA">
            <w:pPr>
              <w:rPr>
                <w:rFonts w:ascii="宋体" w:hAnsi="宋体" w:cs="宋体"/>
                <w:bCs/>
                <w:szCs w:val="21"/>
              </w:rPr>
            </w:pPr>
            <w:r>
              <w:rPr>
                <w:rFonts w:hint="eastAsia" w:ascii="宋体" w:hAnsi="宋体" w:cs="宋体"/>
                <w:bCs/>
                <w:szCs w:val="21"/>
              </w:rPr>
              <w:t>采购人名称：</w:t>
            </w:r>
            <w:r>
              <w:rPr>
                <w:rFonts w:hint="eastAsia" w:ascii="宋体" w:hAnsi="宋体" w:cs="宋体"/>
                <w:bCs/>
                <w:szCs w:val="21"/>
                <w:u w:val="single"/>
              </w:rPr>
              <w:t>xxxx</w:t>
            </w:r>
          </w:p>
          <w:p w14:paraId="3185BAA8">
            <w:pPr>
              <w:rPr>
                <w:rFonts w:ascii="宋体" w:hAnsi="宋体" w:cs="宋体"/>
                <w:bCs/>
                <w:szCs w:val="21"/>
                <w:u w:val="single"/>
              </w:rPr>
            </w:pPr>
            <w:r>
              <w:rPr>
                <w:rFonts w:hint="eastAsia" w:ascii="宋体" w:hAnsi="宋体" w:cs="宋体"/>
                <w:bCs/>
                <w:szCs w:val="21"/>
              </w:rPr>
              <w:t>供应商名称：</w:t>
            </w:r>
            <w:r>
              <w:rPr>
                <w:rFonts w:hint="eastAsia" w:ascii="宋体" w:hAnsi="宋体" w:cs="宋体"/>
                <w:bCs/>
                <w:szCs w:val="21"/>
                <w:u w:val="single"/>
              </w:rPr>
              <w:t>xxxx</w:t>
            </w:r>
          </w:p>
          <w:p w14:paraId="73FED880">
            <w:pPr>
              <w:rPr>
                <w:rFonts w:ascii="宋体" w:hAnsi="宋体" w:cs="宋体"/>
                <w:bCs/>
                <w:szCs w:val="21"/>
              </w:rPr>
            </w:pPr>
            <w:r>
              <w:rPr>
                <w:rFonts w:hint="eastAsia" w:ascii="宋体" w:hAnsi="宋体" w:cs="宋体"/>
                <w:bCs/>
                <w:szCs w:val="21"/>
                <w:u w:val="single"/>
              </w:rPr>
              <w:t>（项目名称）</w:t>
            </w:r>
            <w:r>
              <w:rPr>
                <w:rFonts w:hint="eastAsia" w:ascii="宋体" w:hAnsi="宋体" w:cs="宋体"/>
                <w:bCs/>
                <w:szCs w:val="21"/>
              </w:rPr>
              <w:t>响应文件/开标信封/响应文件电子版</w:t>
            </w:r>
          </w:p>
          <w:p w14:paraId="5CB64404">
            <w:pPr>
              <w:rPr>
                <w:rFonts w:ascii="宋体" w:hAnsi="宋体" w:cs="宋体"/>
                <w:bCs/>
                <w:szCs w:val="21"/>
              </w:rPr>
            </w:pPr>
            <w:r>
              <w:rPr>
                <w:rFonts w:hint="eastAsia" w:ascii="宋体" w:hAnsi="宋体" w:cs="宋体"/>
                <w:bCs/>
                <w:szCs w:val="21"/>
              </w:rPr>
              <w:t>在</w:t>
            </w:r>
            <w:r>
              <w:rPr>
                <w:rFonts w:hint="eastAsia" w:ascii="宋体" w:hAnsi="宋体" w:cs="宋体"/>
                <w:bCs/>
                <w:szCs w:val="21"/>
                <w:u w:val="single"/>
              </w:rPr>
              <w:t>2025</w:t>
            </w:r>
            <w:r>
              <w:rPr>
                <w:rFonts w:hint="eastAsia" w:ascii="宋体" w:hAnsi="宋体" w:cs="宋体"/>
                <w:bCs/>
                <w:szCs w:val="21"/>
              </w:rPr>
              <w:t>年</w:t>
            </w:r>
            <w:r>
              <w:rPr>
                <w:rFonts w:hint="eastAsia" w:ascii="宋体" w:hAnsi="宋体" w:cs="宋体"/>
                <w:bCs/>
                <w:szCs w:val="21"/>
                <w:u w:val="single"/>
              </w:rPr>
              <w:t>xx</w:t>
            </w:r>
            <w:r>
              <w:rPr>
                <w:rFonts w:hint="eastAsia" w:ascii="宋体" w:hAnsi="宋体" w:cs="宋体"/>
                <w:bCs/>
                <w:szCs w:val="21"/>
              </w:rPr>
              <w:t>月</w:t>
            </w:r>
            <w:r>
              <w:rPr>
                <w:rFonts w:hint="eastAsia" w:ascii="宋体" w:hAnsi="宋体" w:cs="宋体"/>
                <w:bCs/>
                <w:szCs w:val="21"/>
                <w:u w:val="single"/>
              </w:rPr>
              <w:t>xx</w:t>
            </w:r>
            <w:r>
              <w:rPr>
                <w:rFonts w:hint="eastAsia" w:ascii="宋体" w:hAnsi="宋体" w:cs="宋体"/>
                <w:bCs/>
                <w:szCs w:val="21"/>
              </w:rPr>
              <w:t>日</w:t>
            </w:r>
            <w:r>
              <w:rPr>
                <w:rFonts w:hint="eastAsia" w:ascii="宋体" w:hAnsi="宋体" w:cs="宋体"/>
                <w:bCs/>
                <w:szCs w:val="21"/>
                <w:u w:val="single"/>
              </w:rPr>
              <w:t>xx</w:t>
            </w:r>
            <w:r>
              <w:rPr>
                <w:rFonts w:hint="eastAsia" w:ascii="宋体" w:hAnsi="宋体" w:cs="宋体"/>
                <w:bCs/>
                <w:szCs w:val="21"/>
              </w:rPr>
              <w:t>时</w:t>
            </w:r>
            <w:r>
              <w:rPr>
                <w:rFonts w:hint="eastAsia" w:ascii="宋体" w:hAnsi="宋体" w:cs="宋体"/>
                <w:bCs/>
                <w:szCs w:val="21"/>
                <w:u w:val="single"/>
              </w:rPr>
              <w:t>xx</w:t>
            </w:r>
            <w:r>
              <w:rPr>
                <w:rFonts w:hint="eastAsia" w:ascii="宋体" w:hAnsi="宋体" w:cs="宋体"/>
                <w:bCs/>
                <w:szCs w:val="21"/>
              </w:rPr>
              <w:t>分前不得开启</w:t>
            </w:r>
          </w:p>
        </w:tc>
      </w:tr>
      <w:tr w14:paraId="55813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ABFDBA1">
            <w:pPr>
              <w:jc w:val="center"/>
              <w:rPr>
                <w:rFonts w:ascii="宋体" w:hAnsi="宋体" w:cs="宋体"/>
                <w:bCs/>
                <w:szCs w:val="21"/>
              </w:rPr>
            </w:pPr>
            <w:r>
              <w:rPr>
                <w:rFonts w:hint="eastAsia" w:ascii="宋体" w:hAnsi="宋体" w:cs="宋体"/>
                <w:bCs/>
                <w:szCs w:val="21"/>
              </w:rPr>
              <w:t>4.2.1</w:t>
            </w:r>
          </w:p>
        </w:tc>
        <w:tc>
          <w:tcPr>
            <w:tcW w:w="2022" w:type="dxa"/>
            <w:tcBorders>
              <w:top w:val="single" w:color="auto" w:sz="4" w:space="0"/>
              <w:left w:val="single" w:color="auto" w:sz="4" w:space="0"/>
              <w:bottom w:val="single" w:color="auto" w:sz="4" w:space="0"/>
              <w:right w:val="single" w:color="auto" w:sz="4" w:space="0"/>
            </w:tcBorders>
            <w:vAlign w:val="center"/>
          </w:tcPr>
          <w:p w14:paraId="3A5EAC2E">
            <w:pPr>
              <w:jc w:val="center"/>
              <w:rPr>
                <w:rFonts w:ascii="宋体" w:hAnsi="宋体" w:cs="宋体"/>
                <w:bCs/>
                <w:szCs w:val="21"/>
              </w:rPr>
            </w:pPr>
            <w:r>
              <w:rPr>
                <w:rFonts w:hint="eastAsia" w:ascii="宋体" w:hAnsi="宋体" w:cs="宋体"/>
                <w:bCs/>
                <w:szCs w:val="21"/>
              </w:rPr>
              <w:t>响应文件递交、截止时间</w:t>
            </w:r>
          </w:p>
        </w:tc>
        <w:tc>
          <w:tcPr>
            <w:tcW w:w="6216" w:type="dxa"/>
            <w:tcBorders>
              <w:top w:val="single" w:color="auto" w:sz="4" w:space="0"/>
              <w:left w:val="single" w:color="auto" w:sz="4" w:space="0"/>
              <w:bottom w:val="single" w:color="auto" w:sz="4" w:space="0"/>
              <w:right w:val="single" w:color="auto" w:sz="4" w:space="0"/>
            </w:tcBorders>
            <w:vAlign w:val="center"/>
          </w:tcPr>
          <w:p w14:paraId="6D3E49B5">
            <w:pPr>
              <w:rPr>
                <w:rFonts w:ascii="宋体" w:hAnsi="宋体" w:cs="宋体"/>
                <w:bCs/>
                <w:szCs w:val="21"/>
              </w:rPr>
            </w:pPr>
            <w:r>
              <w:rPr>
                <w:rFonts w:hint="eastAsia" w:ascii="宋体" w:hAnsi="宋体" w:cs="宋体"/>
                <w:szCs w:val="21"/>
                <w:lang w:val="zh-CN"/>
              </w:rPr>
              <w:t>2025年10月13日09点30分</w:t>
            </w:r>
            <w:bookmarkStart w:id="291" w:name="_GoBack"/>
            <w:bookmarkEnd w:id="291"/>
            <w:r>
              <w:rPr>
                <w:rFonts w:hint="eastAsia" w:ascii="宋体" w:hAnsi="宋体" w:cs="宋体"/>
                <w:szCs w:val="21"/>
                <w:lang w:val="zh-CN"/>
              </w:rPr>
              <w:t>（北京时间）</w:t>
            </w:r>
          </w:p>
        </w:tc>
      </w:tr>
      <w:tr w14:paraId="367F1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98F528F">
            <w:pPr>
              <w:jc w:val="center"/>
              <w:rPr>
                <w:rFonts w:ascii="宋体" w:hAnsi="宋体" w:cs="宋体"/>
                <w:bCs/>
                <w:szCs w:val="21"/>
              </w:rPr>
            </w:pPr>
            <w:r>
              <w:rPr>
                <w:rFonts w:hint="eastAsia" w:ascii="宋体" w:hAnsi="宋体" w:cs="宋体"/>
                <w:bCs/>
                <w:szCs w:val="21"/>
              </w:rPr>
              <w:t>4.2.2</w:t>
            </w:r>
          </w:p>
        </w:tc>
        <w:tc>
          <w:tcPr>
            <w:tcW w:w="2022" w:type="dxa"/>
            <w:tcBorders>
              <w:top w:val="single" w:color="auto" w:sz="4" w:space="0"/>
              <w:left w:val="single" w:color="auto" w:sz="4" w:space="0"/>
              <w:bottom w:val="single" w:color="auto" w:sz="4" w:space="0"/>
              <w:right w:val="single" w:color="auto" w:sz="4" w:space="0"/>
            </w:tcBorders>
            <w:vAlign w:val="center"/>
          </w:tcPr>
          <w:p w14:paraId="237203AD">
            <w:pPr>
              <w:jc w:val="center"/>
              <w:rPr>
                <w:rFonts w:ascii="宋体" w:hAnsi="宋体" w:cs="宋体"/>
                <w:bCs/>
                <w:szCs w:val="21"/>
              </w:rPr>
            </w:pPr>
            <w:r>
              <w:rPr>
                <w:rFonts w:hint="eastAsia" w:ascii="宋体" w:hAnsi="宋体" w:cs="宋体"/>
                <w:bCs/>
                <w:szCs w:val="21"/>
              </w:rPr>
              <w:t>递交响应文件地点</w:t>
            </w:r>
          </w:p>
        </w:tc>
        <w:tc>
          <w:tcPr>
            <w:tcW w:w="6216" w:type="dxa"/>
            <w:tcBorders>
              <w:top w:val="single" w:color="auto" w:sz="4" w:space="0"/>
              <w:left w:val="single" w:color="auto" w:sz="4" w:space="0"/>
              <w:bottom w:val="single" w:color="auto" w:sz="4" w:space="0"/>
              <w:right w:val="single" w:color="auto" w:sz="4" w:space="0"/>
            </w:tcBorders>
            <w:vAlign w:val="center"/>
          </w:tcPr>
          <w:p w14:paraId="011006D1">
            <w:pPr>
              <w:rPr>
                <w:rFonts w:ascii="宋体" w:hAnsi="宋体" w:cs="宋体"/>
                <w:bCs/>
                <w:szCs w:val="21"/>
              </w:rPr>
            </w:pPr>
            <w:r>
              <w:rPr>
                <w:rFonts w:hint="eastAsia" w:ascii="宋体" w:hAnsi="宋体" w:cs="宋体"/>
                <w:bCs/>
                <w:spacing w:val="-8"/>
                <w:szCs w:val="21"/>
              </w:rPr>
              <w:t>深圳市罗湖区清水河街道清水河社区清水河一路112号罗湖投资控股大厦裙楼401</w:t>
            </w:r>
          </w:p>
        </w:tc>
      </w:tr>
      <w:tr w14:paraId="68E6C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73A3084">
            <w:pPr>
              <w:jc w:val="center"/>
              <w:rPr>
                <w:rFonts w:ascii="宋体" w:hAnsi="宋体" w:cs="宋体"/>
                <w:bCs/>
                <w:szCs w:val="21"/>
              </w:rPr>
            </w:pPr>
            <w:r>
              <w:rPr>
                <w:rFonts w:hint="eastAsia" w:ascii="宋体" w:hAnsi="宋体" w:cs="宋体"/>
                <w:bCs/>
                <w:szCs w:val="21"/>
              </w:rPr>
              <w:t>4.2.3</w:t>
            </w:r>
          </w:p>
        </w:tc>
        <w:tc>
          <w:tcPr>
            <w:tcW w:w="2022" w:type="dxa"/>
            <w:tcBorders>
              <w:top w:val="single" w:color="auto" w:sz="4" w:space="0"/>
              <w:left w:val="single" w:color="auto" w:sz="4" w:space="0"/>
              <w:bottom w:val="single" w:color="auto" w:sz="4" w:space="0"/>
              <w:right w:val="single" w:color="auto" w:sz="4" w:space="0"/>
            </w:tcBorders>
            <w:vAlign w:val="center"/>
          </w:tcPr>
          <w:p w14:paraId="3BD8D382">
            <w:pPr>
              <w:jc w:val="center"/>
              <w:rPr>
                <w:rFonts w:ascii="宋体" w:hAnsi="宋体" w:cs="宋体"/>
                <w:bCs/>
                <w:szCs w:val="21"/>
              </w:rPr>
            </w:pPr>
            <w:r>
              <w:rPr>
                <w:rFonts w:hint="eastAsia" w:ascii="宋体" w:hAnsi="宋体" w:cs="宋体"/>
                <w:bCs/>
                <w:szCs w:val="21"/>
              </w:rPr>
              <w:t>是否退还响应文件</w:t>
            </w:r>
          </w:p>
        </w:tc>
        <w:tc>
          <w:tcPr>
            <w:tcW w:w="6216" w:type="dxa"/>
            <w:tcBorders>
              <w:top w:val="single" w:color="auto" w:sz="4" w:space="0"/>
              <w:left w:val="single" w:color="auto" w:sz="4" w:space="0"/>
              <w:bottom w:val="single" w:color="auto" w:sz="4" w:space="0"/>
              <w:right w:val="single" w:color="auto" w:sz="4" w:space="0"/>
            </w:tcBorders>
            <w:vAlign w:val="center"/>
          </w:tcPr>
          <w:p w14:paraId="0436B2EE">
            <w:pPr>
              <w:rPr>
                <w:rFonts w:ascii="宋体" w:hAnsi="宋体" w:cs="宋体"/>
                <w:bCs/>
                <w:szCs w:val="21"/>
              </w:rPr>
            </w:pPr>
            <w:r>
              <w:rPr>
                <w:rFonts w:hint="eastAsia" w:ascii="宋体" w:hAnsi="宋体" w:cs="宋体"/>
                <w:bCs/>
                <w:szCs w:val="21"/>
              </w:rPr>
              <w:t>否</w:t>
            </w:r>
          </w:p>
        </w:tc>
      </w:tr>
      <w:tr w14:paraId="7F787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02060F8">
            <w:pPr>
              <w:jc w:val="center"/>
              <w:rPr>
                <w:rFonts w:ascii="宋体" w:hAnsi="宋体" w:cs="宋体"/>
                <w:b/>
                <w:bCs/>
                <w:szCs w:val="21"/>
              </w:rPr>
            </w:pPr>
            <w:r>
              <w:rPr>
                <w:rFonts w:hint="eastAsia" w:ascii="宋体" w:hAnsi="宋体" w:cs="宋体"/>
                <w:szCs w:val="21"/>
              </w:rPr>
              <w:t>5.1</w:t>
            </w:r>
          </w:p>
        </w:tc>
        <w:tc>
          <w:tcPr>
            <w:tcW w:w="2022" w:type="dxa"/>
            <w:tcBorders>
              <w:top w:val="single" w:color="auto" w:sz="4" w:space="0"/>
              <w:left w:val="single" w:color="auto" w:sz="4" w:space="0"/>
              <w:bottom w:val="single" w:color="auto" w:sz="4" w:space="0"/>
              <w:right w:val="single" w:color="auto" w:sz="4" w:space="0"/>
            </w:tcBorders>
            <w:vAlign w:val="center"/>
          </w:tcPr>
          <w:p w14:paraId="7DA725EB">
            <w:pPr>
              <w:jc w:val="center"/>
              <w:rPr>
                <w:rFonts w:ascii="宋体" w:hAnsi="宋体" w:cs="宋体"/>
                <w:szCs w:val="21"/>
              </w:rPr>
            </w:pPr>
            <w:r>
              <w:rPr>
                <w:rFonts w:hint="eastAsia" w:ascii="宋体" w:hAnsi="宋体" w:cs="宋体"/>
                <w:szCs w:val="21"/>
              </w:rPr>
              <w:t>是否开标</w:t>
            </w:r>
          </w:p>
        </w:tc>
        <w:tc>
          <w:tcPr>
            <w:tcW w:w="6216" w:type="dxa"/>
            <w:tcBorders>
              <w:top w:val="single" w:color="auto" w:sz="4" w:space="0"/>
              <w:left w:val="single" w:color="auto" w:sz="4" w:space="0"/>
              <w:bottom w:val="single" w:color="auto" w:sz="4" w:space="0"/>
              <w:right w:val="single" w:color="auto" w:sz="4" w:space="0"/>
            </w:tcBorders>
            <w:vAlign w:val="center"/>
          </w:tcPr>
          <w:p w14:paraId="094F40FB">
            <w:pPr>
              <w:rPr>
                <w:rFonts w:ascii="宋体" w:hAnsi="宋体" w:cs="宋体"/>
                <w:szCs w:val="21"/>
              </w:rPr>
            </w:pPr>
            <w:r>
              <w:rPr>
                <w:rFonts w:hint="eastAsia" w:ascii="宋体" w:hAnsi="宋体" w:cs="宋体"/>
                <w:szCs w:val="21"/>
                <w:lang w:val="zh-CN"/>
              </w:rPr>
              <w:t>否</w:t>
            </w:r>
          </w:p>
        </w:tc>
      </w:tr>
      <w:tr w14:paraId="0C7E6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2D8F3EC">
            <w:pPr>
              <w:jc w:val="center"/>
              <w:rPr>
                <w:rFonts w:ascii="宋体" w:hAnsi="宋体" w:cs="宋体"/>
                <w:bCs/>
                <w:szCs w:val="21"/>
              </w:rPr>
            </w:pPr>
            <w:r>
              <w:rPr>
                <w:rFonts w:hint="eastAsia" w:ascii="宋体" w:hAnsi="宋体" w:cs="宋体"/>
                <w:bCs/>
                <w:szCs w:val="21"/>
              </w:rPr>
              <w:t>6.1.1</w:t>
            </w:r>
          </w:p>
        </w:tc>
        <w:tc>
          <w:tcPr>
            <w:tcW w:w="2022" w:type="dxa"/>
            <w:tcBorders>
              <w:top w:val="single" w:color="auto" w:sz="4" w:space="0"/>
              <w:left w:val="single" w:color="auto" w:sz="4" w:space="0"/>
              <w:bottom w:val="single" w:color="auto" w:sz="4" w:space="0"/>
              <w:right w:val="single" w:color="auto" w:sz="4" w:space="0"/>
            </w:tcBorders>
            <w:vAlign w:val="center"/>
          </w:tcPr>
          <w:p w14:paraId="78109BF3">
            <w:pPr>
              <w:jc w:val="center"/>
              <w:rPr>
                <w:rFonts w:ascii="宋体" w:hAnsi="宋体" w:cs="宋体"/>
                <w:bCs/>
                <w:szCs w:val="21"/>
              </w:rPr>
            </w:pPr>
            <w:r>
              <w:rPr>
                <w:rFonts w:hint="eastAsia" w:ascii="宋体" w:hAnsi="宋体" w:cs="宋体"/>
                <w:bCs/>
                <w:szCs w:val="21"/>
              </w:rPr>
              <w:t>磋商小组的组建</w:t>
            </w:r>
          </w:p>
        </w:tc>
        <w:tc>
          <w:tcPr>
            <w:tcW w:w="6216" w:type="dxa"/>
            <w:tcBorders>
              <w:top w:val="single" w:color="auto" w:sz="4" w:space="0"/>
              <w:left w:val="single" w:color="auto" w:sz="4" w:space="0"/>
              <w:bottom w:val="single" w:color="auto" w:sz="4" w:space="0"/>
              <w:right w:val="single" w:color="auto" w:sz="4" w:space="0"/>
            </w:tcBorders>
            <w:vAlign w:val="center"/>
          </w:tcPr>
          <w:p w14:paraId="791B8C98">
            <w:pPr>
              <w:rPr>
                <w:rFonts w:ascii="宋体" w:hAnsi="宋体" w:cs="宋体"/>
                <w:bCs/>
                <w:szCs w:val="21"/>
              </w:rPr>
            </w:pPr>
            <w:r>
              <w:rPr>
                <w:rFonts w:hint="eastAsia" w:ascii="宋体" w:hAnsi="宋体" w:cs="宋体"/>
                <w:bCs/>
                <w:szCs w:val="21"/>
              </w:rPr>
              <w:t>按有关规定组建</w:t>
            </w:r>
          </w:p>
        </w:tc>
      </w:tr>
      <w:tr w14:paraId="1615B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A4467E2">
            <w:pPr>
              <w:jc w:val="center"/>
              <w:rPr>
                <w:rFonts w:ascii="宋体" w:hAnsi="宋体" w:cs="宋体"/>
                <w:bCs/>
                <w:szCs w:val="21"/>
              </w:rPr>
            </w:pPr>
            <w:r>
              <w:rPr>
                <w:rFonts w:hint="eastAsia" w:ascii="宋体" w:hAnsi="宋体" w:cs="宋体"/>
                <w:bCs/>
                <w:szCs w:val="21"/>
              </w:rPr>
              <w:t>7.1</w:t>
            </w:r>
          </w:p>
        </w:tc>
        <w:tc>
          <w:tcPr>
            <w:tcW w:w="2022" w:type="dxa"/>
            <w:tcBorders>
              <w:top w:val="single" w:color="auto" w:sz="4" w:space="0"/>
              <w:left w:val="single" w:color="auto" w:sz="4" w:space="0"/>
              <w:bottom w:val="single" w:color="auto" w:sz="4" w:space="0"/>
              <w:right w:val="single" w:color="auto" w:sz="4" w:space="0"/>
            </w:tcBorders>
            <w:vAlign w:val="center"/>
          </w:tcPr>
          <w:p w14:paraId="254F403B">
            <w:pPr>
              <w:jc w:val="center"/>
              <w:rPr>
                <w:rFonts w:ascii="宋体" w:hAnsi="宋体" w:cs="宋体"/>
                <w:bCs/>
                <w:szCs w:val="21"/>
              </w:rPr>
            </w:pPr>
            <w:r>
              <w:rPr>
                <w:rFonts w:hint="eastAsia" w:ascii="宋体" w:hAnsi="宋体" w:cs="宋体"/>
                <w:bCs/>
                <w:szCs w:val="21"/>
              </w:rPr>
              <w:t>是否授权磋商小组确定成交供应商</w:t>
            </w:r>
          </w:p>
        </w:tc>
        <w:tc>
          <w:tcPr>
            <w:tcW w:w="6216" w:type="dxa"/>
            <w:tcBorders>
              <w:top w:val="single" w:color="auto" w:sz="4" w:space="0"/>
              <w:left w:val="single" w:color="auto" w:sz="4" w:space="0"/>
              <w:bottom w:val="single" w:color="auto" w:sz="4" w:space="0"/>
              <w:right w:val="single" w:color="auto" w:sz="4" w:space="0"/>
            </w:tcBorders>
            <w:vAlign w:val="center"/>
          </w:tcPr>
          <w:p w14:paraId="26E2DA79">
            <w:pPr>
              <w:rPr>
                <w:rFonts w:ascii="宋体" w:hAnsi="宋体" w:cs="宋体"/>
                <w:bCs/>
                <w:szCs w:val="21"/>
              </w:rPr>
            </w:pPr>
            <w:r>
              <w:rPr>
                <w:rFonts w:hint="eastAsia" w:ascii="宋体" w:hAnsi="宋体" w:cs="宋体"/>
                <w:szCs w:val="21"/>
              </w:rPr>
              <w:fldChar w:fldCharType="begin"/>
            </w:r>
            <w:r>
              <w:rPr>
                <w:rFonts w:hint="eastAsia" w:ascii="宋体" w:hAnsi="宋体" w:cs="宋体"/>
                <w:szCs w:val="21"/>
              </w:rPr>
              <w:instrText xml:space="preserve"> eq \o\ac(</w:instrText>
            </w:r>
            <w:r>
              <w:rPr>
                <w:rFonts w:hint="eastAsia" w:ascii="宋体" w:hAnsi="宋体" w:cs="宋体"/>
                <w:position w:val="-4"/>
                <w:sz w:val="31"/>
                <w:szCs w:val="21"/>
              </w:rPr>
              <w:instrText xml:space="preserve">□</w:instrText>
            </w:r>
            <w:r>
              <w:rPr>
                <w:rFonts w:hint="eastAsia" w:ascii="宋体" w:hAnsi="宋体" w:cs="宋体"/>
                <w:szCs w:val="21"/>
              </w:rPr>
              <w:instrText xml:space="preserve">,√)</w:instrText>
            </w:r>
            <w:r>
              <w:rPr>
                <w:rFonts w:hint="eastAsia" w:ascii="宋体" w:hAnsi="宋体" w:cs="宋体"/>
                <w:szCs w:val="21"/>
              </w:rPr>
              <w:fldChar w:fldCharType="end"/>
            </w:r>
            <w:r>
              <w:rPr>
                <w:rFonts w:hint="eastAsia" w:ascii="宋体" w:hAnsi="宋体" w:cs="宋体"/>
                <w:bCs/>
                <w:szCs w:val="21"/>
              </w:rPr>
              <w:t>否，推荐的成交候选供应商数：3名</w:t>
            </w:r>
          </w:p>
        </w:tc>
      </w:tr>
      <w:tr w14:paraId="047A1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3E22D71">
            <w:pPr>
              <w:jc w:val="center"/>
              <w:rPr>
                <w:rFonts w:ascii="宋体" w:hAnsi="宋体" w:cs="宋体"/>
                <w:bCs/>
                <w:szCs w:val="21"/>
              </w:rPr>
            </w:pPr>
            <w:r>
              <w:rPr>
                <w:rFonts w:hint="eastAsia" w:ascii="宋体" w:hAnsi="宋体" w:cs="宋体"/>
                <w:bCs/>
                <w:szCs w:val="21"/>
              </w:rPr>
              <w:t>7.1</w:t>
            </w:r>
          </w:p>
        </w:tc>
        <w:tc>
          <w:tcPr>
            <w:tcW w:w="2022" w:type="dxa"/>
            <w:tcBorders>
              <w:top w:val="single" w:color="auto" w:sz="4" w:space="0"/>
              <w:left w:val="single" w:color="auto" w:sz="4" w:space="0"/>
              <w:bottom w:val="single" w:color="auto" w:sz="4" w:space="0"/>
              <w:right w:val="single" w:color="auto" w:sz="4" w:space="0"/>
            </w:tcBorders>
            <w:vAlign w:val="center"/>
          </w:tcPr>
          <w:p w14:paraId="0A505983">
            <w:pPr>
              <w:jc w:val="center"/>
              <w:rPr>
                <w:rFonts w:ascii="宋体" w:hAnsi="宋体" w:cs="宋体"/>
                <w:bCs/>
                <w:szCs w:val="21"/>
              </w:rPr>
            </w:pPr>
            <w:r>
              <w:rPr>
                <w:rFonts w:hint="eastAsia" w:ascii="宋体" w:hAnsi="宋体" w:cs="宋体"/>
                <w:bCs/>
                <w:szCs w:val="21"/>
              </w:rPr>
              <w:t>成交供应商数量</w:t>
            </w:r>
          </w:p>
        </w:tc>
        <w:tc>
          <w:tcPr>
            <w:tcW w:w="6216" w:type="dxa"/>
            <w:tcBorders>
              <w:top w:val="single" w:color="auto" w:sz="4" w:space="0"/>
              <w:left w:val="single" w:color="auto" w:sz="4" w:space="0"/>
              <w:bottom w:val="single" w:color="auto" w:sz="4" w:space="0"/>
              <w:right w:val="single" w:color="auto" w:sz="4" w:space="0"/>
            </w:tcBorders>
            <w:vAlign w:val="center"/>
          </w:tcPr>
          <w:p w14:paraId="1D9FF134">
            <w:pPr>
              <w:rPr>
                <w:rFonts w:ascii="宋体" w:hAnsi="宋体" w:cs="宋体"/>
                <w:szCs w:val="21"/>
              </w:rPr>
            </w:pPr>
            <w:r>
              <w:rPr>
                <w:rFonts w:hint="eastAsia" w:ascii="宋体" w:hAnsi="宋体" w:cs="宋体"/>
                <w:szCs w:val="21"/>
              </w:rPr>
              <w:t>1名</w:t>
            </w:r>
          </w:p>
        </w:tc>
      </w:tr>
      <w:tr w14:paraId="0E4B4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90A1001">
            <w:pPr>
              <w:jc w:val="center"/>
              <w:rPr>
                <w:rFonts w:ascii="宋体" w:hAnsi="宋体" w:cs="宋体"/>
                <w:bCs/>
                <w:szCs w:val="21"/>
              </w:rPr>
            </w:pPr>
            <w:r>
              <w:rPr>
                <w:rFonts w:hint="eastAsia" w:ascii="宋体" w:hAnsi="宋体" w:cs="宋体"/>
                <w:bCs/>
                <w:szCs w:val="21"/>
              </w:rPr>
              <w:t>7.2.1</w:t>
            </w:r>
          </w:p>
        </w:tc>
        <w:tc>
          <w:tcPr>
            <w:tcW w:w="2022" w:type="dxa"/>
            <w:tcBorders>
              <w:top w:val="single" w:color="auto" w:sz="4" w:space="0"/>
              <w:left w:val="single" w:color="auto" w:sz="4" w:space="0"/>
              <w:bottom w:val="single" w:color="auto" w:sz="4" w:space="0"/>
              <w:right w:val="single" w:color="auto" w:sz="4" w:space="0"/>
            </w:tcBorders>
            <w:vAlign w:val="center"/>
          </w:tcPr>
          <w:p w14:paraId="30322B36">
            <w:pPr>
              <w:jc w:val="center"/>
              <w:rPr>
                <w:rFonts w:ascii="宋体" w:hAnsi="宋体" w:cs="宋体"/>
                <w:bCs/>
                <w:szCs w:val="21"/>
              </w:rPr>
            </w:pPr>
            <w:r>
              <w:rPr>
                <w:rFonts w:hint="eastAsia" w:ascii="宋体" w:hAnsi="宋体" w:cs="宋体"/>
                <w:bCs/>
                <w:szCs w:val="21"/>
              </w:rPr>
              <w:t>成交候选供应商公示媒介</w:t>
            </w:r>
          </w:p>
        </w:tc>
        <w:tc>
          <w:tcPr>
            <w:tcW w:w="6216" w:type="dxa"/>
            <w:tcBorders>
              <w:top w:val="single" w:color="auto" w:sz="4" w:space="0"/>
              <w:left w:val="single" w:color="auto" w:sz="4" w:space="0"/>
              <w:bottom w:val="single" w:color="auto" w:sz="4" w:space="0"/>
              <w:right w:val="single" w:color="auto" w:sz="4" w:space="0"/>
            </w:tcBorders>
            <w:vAlign w:val="center"/>
          </w:tcPr>
          <w:p w14:paraId="750FA1FB">
            <w:pPr>
              <w:rPr>
                <w:rFonts w:ascii="宋体" w:hAnsi="宋体" w:cs="宋体"/>
                <w:bCs/>
                <w:szCs w:val="21"/>
              </w:rPr>
            </w:pPr>
            <w:r>
              <w:rPr>
                <w:rFonts w:hint="eastAsia" w:ascii="宋体" w:hAnsi="宋体" w:cs="宋体"/>
                <w:bCs/>
                <w:szCs w:val="21"/>
              </w:rPr>
              <w:t>详见竞争性磋商公告中所示内容</w:t>
            </w:r>
          </w:p>
        </w:tc>
      </w:tr>
      <w:tr w14:paraId="0A33F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231" w:type="dxa"/>
            <w:gridSpan w:val="3"/>
            <w:tcBorders>
              <w:top w:val="single" w:color="auto" w:sz="4" w:space="0"/>
              <w:left w:val="single" w:color="auto" w:sz="4" w:space="0"/>
              <w:bottom w:val="single" w:color="auto" w:sz="4" w:space="0"/>
              <w:right w:val="single" w:color="auto" w:sz="4" w:space="0"/>
            </w:tcBorders>
            <w:vAlign w:val="center"/>
          </w:tcPr>
          <w:p w14:paraId="20488F26">
            <w:pPr>
              <w:ind w:firstLine="102" w:firstLineChars="49"/>
              <w:rPr>
                <w:rFonts w:ascii="宋体" w:hAnsi="宋体" w:cs="宋体"/>
                <w:bCs/>
                <w:szCs w:val="21"/>
              </w:rPr>
            </w:pPr>
            <w:r>
              <w:rPr>
                <w:rFonts w:hint="eastAsia" w:ascii="宋体" w:hAnsi="宋体" w:cs="宋体"/>
                <w:bCs/>
                <w:szCs w:val="21"/>
              </w:rPr>
              <w:t>10.  需要补充的其他内容</w:t>
            </w:r>
          </w:p>
        </w:tc>
      </w:tr>
      <w:tr w14:paraId="0EA05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1F86265">
            <w:pPr>
              <w:jc w:val="center"/>
              <w:rPr>
                <w:rFonts w:ascii="宋体" w:hAnsi="宋体" w:cs="宋体"/>
                <w:bCs/>
                <w:szCs w:val="21"/>
              </w:rPr>
            </w:pPr>
            <w:r>
              <w:rPr>
                <w:rFonts w:hint="eastAsia" w:ascii="宋体" w:hAnsi="宋体" w:cs="宋体"/>
                <w:bCs/>
                <w:szCs w:val="21"/>
              </w:rPr>
              <w:t>10.1</w:t>
            </w:r>
          </w:p>
        </w:tc>
        <w:tc>
          <w:tcPr>
            <w:tcW w:w="2022" w:type="dxa"/>
            <w:tcBorders>
              <w:top w:val="single" w:color="auto" w:sz="4" w:space="0"/>
              <w:left w:val="single" w:color="auto" w:sz="4" w:space="0"/>
              <w:bottom w:val="single" w:color="auto" w:sz="4" w:space="0"/>
              <w:right w:val="single" w:color="auto" w:sz="4" w:space="0"/>
            </w:tcBorders>
            <w:vAlign w:val="center"/>
          </w:tcPr>
          <w:p w14:paraId="6C48FF6E">
            <w:pPr>
              <w:jc w:val="center"/>
              <w:rPr>
                <w:rFonts w:ascii="宋体" w:hAnsi="宋体" w:cs="宋体"/>
                <w:bCs/>
                <w:szCs w:val="21"/>
              </w:rPr>
            </w:pPr>
            <w:r>
              <w:rPr>
                <w:rFonts w:hint="eastAsia" w:ascii="宋体" w:hAnsi="宋体" w:cs="宋体"/>
                <w:bCs/>
                <w:szCs w:val="21"/>
              </w:rPr>
              <w:t>报价方式</w:t>
            </w:r>
          </w:p>
        </w:tc>
        <w:tc>
          <w:tcPr>
            <w:tcW w:w="6216" w:type="dxa"/>
            <w:tcBorders>
              <w:top w:val="single" w:color="auto" w:sz="4" w:space="0"/>
              <w:left w:val="single" w:color="auto" w:sz="4" w:space="0"/>
              <w:bottom w:val="single" w:color="auto" w:sz="4" w:space="0"/>
              <w:right w:val="single" w:color="auto" w:sz="4" w:space="0"/>
            </w:tcBorders>
            <w:vAlign w:val="center"/>
          </w:tcPr>
          <w:p w14:paraId="3E0ED1D7">
            <w:pPr>
              <w:rPr>
                <w:rFonts w:ascii="宋体" w:hAnsi="宋体" w:cs="宋体"/>
                <w:bCs/>
                <w:szCs w:val="21"/>
              </w:rPr>
            </w:pPr>
            <w:r>
              <w:rPr>
                <w:rFonts w:hint="eastAsia" w:ascii="宋体" w:hAnsi="宋体" w:cs="宋体"/>
                <w:szCs w:val="21"/>
              </w:rPr>
              <w:t>按“第四章 项目需求书”中所示内容</w:t>
            </w:r>
          </w:p>
        </w:tc>
      </w:tr>
      <w:tr w14:paraId="4E6F6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8A9852B">
            <w:pPr>
              <w:jc w:val="center"/>
              <w:rPr>
                <w:rFonts w:ascii="宋体" w:hAnsi="宋体" w:cs="宋体"/>
                <w:bCs/>
                <w:szCs w:val="21"/>
              </w:rPr>
            </w:pPr>
            <w:r>
              <w:rPr>
                <w:rFonts w:hint="eastAsia" w:ascii="宋体" w:hAnsi="宋体" w:cs="宋体"/>
                <w:bCs/>
                <w:szCs w:val="21"/>
              </w:rPr>
              <w:t>10.2</w:t>
            </w:r>
          </w:p>
        </w:tc>
        <w:tc>
          <w:tcPr>
            <w:tcW w:w="2022" w:type="dxa"/>
            <w:tcBorders>
              <w:top w:val="single" w:color="auto" w:sz="4" w:space="0"/>
              <w:left w:val="single" w:color="auto" w:sz="4" w:space="0"/>
              <w:bottom w:val="single" w:color="auto" w:sz="4" w:space="0"/>
              <w:right w:val="single" w:color="auto" w:sz="4" w:space="0"/>
            </w:tcBorders>
            <w:vAlign w:val="center"/>
          </w:tcPr>
          <w:p w14:paraId="57F5A44C">
            <w:pPr>
              <w:jc w:val="center"/>
              <w:rPr>
                <w:rFonts w:ascii="宋体" w:hAnsi="宋体" w:cs="宋体"/>
                <w:bCs/>
                <w:szCs w:val="21"/>
              </w:rPr>
            </w:pPr>
            <w:r>
              <w:rPr>
                <w:rFonts w:hint="eastAsia" w:ascii="宋体" w:hAnsi="宋体" w:cs="宋体"/>
                <w:bCs/>
                <w:szCs w:val="21"/>
              </w:rPr>
              <w:t>是否实行计算机辅助评标</w:t>
            </w:r>
          </w:p>
        </w:tc>
        <w:tc>
          <w:tcPr>
            <w:tcW w:w="6216" w:type="dxa"/>
            <w:tcBorders>
              <w:top w:val="single" w:color="auto" w:sz="4" w:space="0"/>
              <w:left w:val="single" w:color="auto" w:sz="4" w:space="0"/>
              <w:bottom w:val="single" w:color="auto" w:sz="4" w:space="0"/>
              <w:right w:val="single" w:color="auto" w:sz="4" w:space="0"/>
            </w:tcBorders>
            <w:vAlign w:val="center"/>
          </w:tcPr>
          <w:p w14:paraId="16EEAFA0">
            <w:pPr>
              <w:ind w:left="210" w:hanging="210" w:hangingChars="100"/>
              <w:rPr>
                <w:rFonts w:ascii="宋体" w:hAnsi="宋体" w:cs="宋体"/>
                <w:bCs/>
                <w:szCs w:val="21"/>
              </w:rPr>
            </w:pPr>
            <w:r>
              <w:rPr>
                <w:rFonts w:hint="eastAsia" w:ascii="宋体" w:hAnsi="宋体" w:cs="宋体"/>
                <w:szCs w:val="21"/>
              </w:rPr>
              <w:fldChar w:fldCharType="begin"/>
            </w:r>
            <w:r>
              <w:rPr>
                <w:rFonts w:hint="eastAsia" w:ascii="宋体" w:hAnsi="宋体" w:cs="宋体"/>
                <w:szCs w:val="21"/>
              </w:rPr>
              <w:instrText xml:space="preserve"> eq \o\ac(</w:instrText>
            </w:r>
            <w:r>
              <w:rPr>
                <w:rFonts w:hint="eastAsia" w:ascii="宋体" w:hAnsi="宋体" w:cs="宋体"/>
                <w:position w:val="-4"/>
                <w:sz w:val="31"/>
                <w:szCs w:val="21"/>
              </w:rPr>
              <w:instrText xml:space="preserve">□</w:instrText>
            </w:r>
            <w:r>
              <w:rPr>
                <w:rFonts w:hint="eastAsia" w:ascii="宋体" w:hAnsi="宋体" w:cs="宋体"/>
                <w:szCs w:val="21"/>
              </w:rPr>
              <w:instrText xml:space="preserve">,√)</w:instrText>
            </w:r>
            <w:r>
              <w:rPr>
                <w:rFonts w:hint="eastAsia" w:ascii="宋体" w:hAnsi="宋体" w:cs="宋体"/>
                <w:szCs w:val="21"/>
              </w:rPr>
              <w:fldChar w:fldCharType="end"/>
            </w:r>
            <w:r>
              <w:rPr>
                <w:rFonts w:hint="eastAsia" w:ascii="宋体" w:hAnsi="宋体" w:cs="宋体"/>
                <w:bCs/>
                <w:szCs w:val="21"/>
              </w:rPr>
              <w:t>否</w:t>
            </w:r>
          </w:p>
        </w:tc>
      </w:tr>
      <w:tr w14:paraId="59DF6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D194EA4">
            <w:pPr>
              <w:jc w:val="center"/>
              <w:rPr>
                <w:rFonts w:ascii="宋体" w:hAnsi="宋体" w:cs="宋体"/>
                <w:bCs/>
                <w:szCs w:val="21"/>
              </w:rPr>
            </w:pPr>
            <w:r>
              <w:rPr>
                <w:rFonts w:hint="eastAsia" w:ascii="宋体" w:hAnsi="宋体" w:cs="宋体"/>
                <w:bCs/>
                <w:szCs w:val="21"/>
              </w:rPr>
              <w:t>10.3</w:t>
            </w:r>
          </w:p>
        </w:tc>
        <w:tc>
          <w:tcPr>
            <w:tcW w:w="2022" w:type="dxa"/>
            <w:tcBorders>
              <w:top w:val="single" w:color="auto" w:sz="4" w:space="0"/>
              <w:left w:val="single" w:color="auto" w:sz="4" w:space="0"/>
              <w:bottom w:val="single" w:color="auto" w:sz="4" w:space="0"/>
              <w:right w:val="single" w:color="auto" w:sz="4" w:space="0"/>
            </w:tcBorders>
            <w:vAlign w:val="center"/>
          </w:tcPr>
          <w:p w14:paraId="2E069541">
            <w:pPr>
              <w:jc w:val="center"/>
              <w:rPr>
                <w:rFonts w:ascii="宋体" w:hAnsi="宋体" w:cs="宋体"/>
                <w:szCs w:val="21"/>
              </w:rPr>
            </w:pPr>
            <w:r>
              <w:rPr>
                <w:rFonts w:hint="eastAsia" w:ascii="宋体" w:hAnsi="宋体" w:cs="宋体"/>
                <w:szCs w:val="21"/>
              </w:rPr>
              <w:t>计价方式</w:t>
            </w:r>
          </w:p>
        </w:tc>
        <w:tc>
          <w:tcPr>
            <w:tcW w:w="6216" w:type="dxa"/>
            <w:tcBorders>
              <w:top w:val="single" w:color="auto" w:sz="4" w:space="0"/>
              <w:left w:val="single" w:color="auto" w:sz="4" w:space="0"/>
              <w:bottom w:val="single" w:color="auto" w:sz="4" w:space="0"/>
              <w:right w:val="single" w:color="auto" w:sz="4" w:space="0"/>
            </w:tcBorders>
            <w:vAlign w:val="center"/>
          </w:tcPr>
          <w:p w14:paraId="239585F7">
            <w:pPr>
              <w:rPr>
                <w:rFonts w:ascii="宋体" w:hAnsi="宋体" w:cs="宋体"/>
                <w:szCs w:val="21"/>
              </w:rPr>
            </w:pPr>
            <w:r>
              <w:rPr>
                <w:rFonts w:hint="eastAsia" w:ascii="宋体" w:hAnsi="宋体" w:cs="宋体"/>
                <w:szCs w:val="21"/>
              </w:rPr>
              <w:t>按“第四章 项目需求书”中所示内容</w:t>
            </w:r>
          </w:p>
        </w:tc>
      </w:tr>
      <w:tr w14:paraId="6CE58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A119C7A">
            <w:pPr>
              <w:jc w:val="center"/>
              <w:rPr>
                <w:rFonts w:ascii="宋体" w:hAnsi="宋体" w:cs="宋体"/>
                <w:bCs/>
                <w:szCs w:val="21"/>
              </w:rPr>
            </w:pPr>
            <w:r>
              <w:rPr>
                <w:rFonts w:hint="eastAsia" w:ascii="宋体" w:hAnsi="宋体" w:cs="宋体"/>
                <w:bCs/>
                <w:szCs w:val="21"/>
              </w:rPr>
              <w:t>10.4</w:t>
            </w:r>
          </w:p>
        </w:tc>
        <w:tc>
          <w:tcPr>
            <w:tcW w:w="2022" w:type="dxa"/>
            <w:tcBorders>
              <w:top w:val="single" w:color="auto" w:sz="4" w:space="0"/>
              <w:left w:val="single" w:color="auto" w:sz="4" w:space="0"/>
              <w:bottom w:val="single" w:color="auto" w:sz="4" w:space="0"/>
              <w:right w:val="single" w:color="auto" w:sz="4" w:space="0"/>
            </w:tcBorders>
            <w:vAlign w:val="center"/>
          </w:tcPr>
          <w:p w14:paraId="69ADAF9A">
            <w:pPr>
              <w:jc w:val="center"/>
              <w:rPr>
                <w:rFonts w:ascii="宋体" w:hAnsi="宋体" w:cs="宋体"/>
                <w:bCs/>
                <w:szCs w:val="21"/>
              </w:rPr>
            </w:pPr>
            <w:r>
              <w:rPr>
                <w:rFonts w:hint="eastAsia" w:ascii="宋体" w:hAnsi="宋体" w:cs="宋体"/>
                <w:bCs/>
                <w:szCs w:val="21"/>
              </w:rPr>
              <w:t>付款方式</w:t>
            </w:r>
          </w:p>
        </w:tc>
        <w:tc>
          <w:tcPr>
            <w:tcW w:w="6216" w:type="dxa"/>
            <w:tcBorders>
              <w:top w:val="single" w:color="auto" w:sz="4" w:space="0"/>
              <w:left w:val="single" w:color="auto" w:sz="4" w:space="0"/>
              <w:bottom w:val="single" w:color="auto" w:sz="4" w:space="0"/>
              <w:right w:val="single" w:color="auto" w:sz="4" w:space="0"/>
            </w:tcBorders>
            <w:vAlign w:val="center"/>
          </w:tcPr>
          <w:p w14:paraId="4347C661">
            <w:pPr>
              <w:rPr>
                <w:rFonts w:ascii="宋体" w:hAnsi="宋体" w:cs="宋体"/>
                <w:szCs w:val="21"/>
              </w:rPr>
            </w:pPr>
            <w:r>
              <w:rPr>
                <w:rFonts w:hint="eastAsia" w:ascii="宋体" w:hAnsi="宋体" w:cs="宋体"/>
                <w:szCs w:val="21"/>
              </w:rPr>
              <w:t>按“第四章 项目需求书”中所示内容</w:t>
            </w:r>
          </w:p>
        </w:tc>
      </w:tr>
      <w:tr w14:paraId="430D4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C7AF633">
            <w:pPr>
              <w:jc w:val="center"/>
              <w:rPr>
                <w:rFonts w:ascii="宋体" w:hAnsi="宋体" w:cs="宋体"/>
                <w:bCs/>
                <w:szCs w:val="21"/>
              </w:rPr>
            </w:pPr>
            <w:r>
              <w:rPr>
                <w:rFonts w:hint="eastAsia" w:ascii="宋体" w:hAnsi="宋体" w:cs="宋体"/>
                <w:bCs/>
                <w:szCs w:val="21"/>
              </w:rPr>
              <w:t>10.5</w:t>
            </w:r>
          </w:p>
        </w:tc>
        <w:tc>
          <w:tcPr>
            <w:tcW w:w="2022" w:type="dxa"/>
            <w:tcBorders>
              <w:top w:val="single" w:color="auto" w:sz="4" w:space="0"/>
              <w:left w:val="single" w:color="auto" w:sz="4" w:space="0"/>
              <w:bottom w:val="single" w:color="auto" w:sz="4" w:space="0"/>
              <w:right w:val="single" w:color="auto" w:sz="4" w:space="0"/>
            </w:tcBorders>
            <w:vAlign w:val="center"/>
          </w:tcPr>
          <w:p w14:paraId="75E46028">
            <w:pPr>
              <w:jc w:val="center"/>
              <w:rPr>
                <w:rFonts w:ascii="宋体" w:hAnsi="宋体" w:cs="宋体"/>
                <w:bCs/>
                <w:szCs w:val="21"/>
              </w:rPr>
            </w:pPr>
            <w:r>
              <w:rPr>
                <w:rFonts w:hint="eastAsia" w:ascii="宋体" w:hAnsi="宋体" w:cs="宋体"/>
                <w:bCs/>
                <w:szCs w:val="21"/>
              </w:rPr>
              <w:t>知识产权</w:t>
            </w:r>
          </w:p>
        </w:tc>
        <w:tc>
          <w:tcPr>
            <w:tcW w:w="6216" w:type="dxa"/>
            <w:tcBorders>
              <w:top w:val="single" w:color="auto" w:sz="4" w:space="0"/>
              <w:left w:val="single" w:color="auto" w:sz="4" w:space="0"/>
              <w:bottom w:val="single" w:color="auto" w:sz="4" w:space="0"/>
              <w:right w:val="single" w:color="auto" w:sz="4" w:space="0"/>
            </w:tcBorders>
            <w:vAlign w:val="center"/>
          </w:tcPr>
          <w:p w14:paraId="0EB4104D">
            <w:pPr>
              <w:rPr>
                <w:rFonts w:ascii="宋体" w:hAnsi="宋体" w:cs="宋体"/>
                <w:bCs/>
                <w:szCs w:val="21"/>
              </w:rPr>
            </w:pPr>
            <w:r>
              <w:rPr>
                <w:rFonts w:hint="eastAsia" w:ascii="宋体" w:hAnsi="宋体" w:cs="宋体"/>
                <w:bCs/>
                <w:szCs w:val="21"/>
              </w:rPr>
              <w:t>构成本采购文件各个组成部分的文件，未经采购人书面同意，供应商不得擅自复印和用于非本采购项目所需的其他目的。采购人全部或者部分使用未成交供应商响应文件中的技术成果或技术方案时，需征得其书面同意，并不得擅自复印或提供给第三人。</w:t>
            </w:r>
          </w:p>
        </w:tc>
      </w:tr>
      <w:tr w14:paraId="3B4C4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874D307">
            <w:pPr>
              <w:jc w:val="center"/>
              <w:rPr>
                <w:rFonts w:ascii="宋体" w:hAnsi="宋体" w:cs="宋体"/>
                <w:bCs/>
                <w:szCs w:val="21"/>
              </w:rPr>
            </w:pPr>
            <w:r>
              <w:rPr>
                <w:rFonts w:hint="eastAsia" w:ascii="宋体" w:hAnsi="宋体" w:cs="宋体"/>
                <w:bCs/>
                <w:szCs w:val="21"/>
              </w:rPr>
              <w:t>10.6</w:t>
            </w:r>
          </w:p>
        </w:tc>
        <w:tc>
          <w:tcPr>
            <w:tcW w:w="2022" w:type="dxa"/>
            <w:tcBorders>
              <w:top w:val="single" w:color="auto" w:sz="4" w:space="0"/>
              <w:left w:val="single" w:color="auto" w:sz="4" w:space="0"/>
              <w:bottom w:val="single" w:color="auto" w:sz="4" w:space="0"/>
              <w:right w:val="single" w:color="auto" w:sz="4" w:space="0"/>
            </w:tcBorders>
            <w:vAlign w:val="center"/>
          </w:tcPr>
          <w:p w14:paraId="2C1A1E77">
            <w:pPr>
              <w:jc w:val="center"/>
              <w:rPr>
                <w:rFonts w:ascii="宋体" w:hAnsi="宋体" w:cs="宋体"/>
                <w:bCs/>
                <w:szCs w:val="21"/>
              </w:rPr>
            </w:pPr>
            <w:r>
              <w:rPr>
                <w:rFonts w:hint="eastAsia" w:ascii="宋体" w:hAnsi="宋体" w:cs="宋体"/>
                <w:bCs/>
                <w:szCs w:val="21"/>
              </w:rPr>
              <w:t>同义词语</w:t>
            </w:r>
          </w:p>
        </w:tc>
        <w:tc>
          <w:tcPr>
            <w:tcW w:w="6216" w:type="dxa"/>
            <w:tcBorders>
              <w:top w:val="single" w:color="auto" w:sz="4" w:space="0"/>
              <w:left w:val="single" w:color="auto" w:sz="4" w:space="0"/>
              <w:bottom w:val="single" w:color="auto" w:sz="4" w:space="0"/>
              <w:right w:val="single" w:color="auto" w:sz="4" w:space="0"/>
            </w:tcBorders>
            <w:vAlign w:val="center"/>
          </w:tcPr>
          <w:p w14:paraId="6C1ECA1C">
            <w:pPr>
              <w:rPr>
                <w:rFonts w:ascii="宋体" w:hAnsi="宋体" w:cs="宋体"/>
                <w:bCs/>
                <w:szCs w:val="21"/>
              </w:rPr>
            </w:pPr>
            <w:r>
              <w:rPr>
                <w:rFonts w:hint="eastAsia" w:ascii="宋体" w:hAnsi="宋体" w:cs="宋体"/>
                <w:bCs/>
                <w:szCs w:val="21"/>
              </w:rPr>
              <w:t>构成采购文件组成部分的“通用合同条款”、“专用合同条款”、“技术标准和要求”和“工程量清单”等章节中出现的措辞“发包人”和“承包人”，在磋商阶段应当分别按“采购人”和“供应商”进行理解。</w:t>
            </w:r>
          </w:p>
        </w:tc>
      </w:tr>
      <w:tr w14:paraId="34C2E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4B9D884">
            <w:pPr>
              <w:jc w:val="center"/>
              <w:rPr>
                <w:rFonts w:ascii="宋体" w:hAnsi="宋体" w:cs="宋体"/>
                <w:bCs/>
                <w:szCs w:val="21"/>
              </w:rPr>
            </w:pPr>
            <w:r>
              <w:rPr>
                <w:rFonts w:hint="eastAsia" w:ascii="宋体" w:hAnsi="宋体" w:cs="宋体"/>
                <w:bCs/>
                <w:szCs w:val="21"/>
              </w:rPr>
              <w:t>10.7</w:t>
            </w:r>
          </w:p>
        </w:tc>
        <w:tc>
          <w:tcPr>
            <w:tcW w:w="2022" w:type="dxa"/>
            <w:tcBorders>
              <w:top w:val="single" w:color="auto" w:sz="4" w:space="0"/>
              <w:left w:val="single" w:color="auto" w:sz="4" w:space="0"/>
              <w:bottom w:val="single" w:color="auto" w:sz="4" w:space="0"/>
              <w:right w:val="single" w:color="auto" w:sz="4" w:space="0"/>
            </w:tcBorders>
            <w:vAlign w:val="center"/>
          </w:tcPr>
          <w:p w14:paraId="1B5BC801">
            <w:pPr>
              <w:jc w:val="center"/>
              <w:rPr>
                <w:rFonts w:ascii="宋体" w:hAnsi="宋体" w:cs="宋体"/>
                <w:bCs/>
                <w:szCs w:val="21"/>
              </w:rPr>
            </w:pPr>
            <w:r>
              <w:rPr>
                <w:rFonts w:hint="eastAsia" w:ascii="宋体" w:hAnsi="宋体" w:cs="宋体"/>
                <w:bCs/>
                <w:szCs w:val="21"/>
              </w:rPr>
              <w:t>监督</w:t>
            </w:r>
          </w:p>
        </w:tc>
        <w:tc>
          <w:tcPr>
            <w:tcW w:w="6216" w:type="dxa"/>
            <w:tcBorders>
              <w:top w:val="single" w:color="auto" w:sz="4" w:space="0"/>
              <w:left w:val="single" w:color="auto" w:sz="4" w:space="0"/>
              <w:bottom w:val="single" w:color="auto" w:sz="4" w:space="0"/>
              <w:right w:val="single" w:color="auto" w:sz="4" w:space="0"/>
            </w:tcBorders>
            <w:vAlign w:val="center"/>
          </w:tcPr>
          <w:p w14:paraId="543E08A8">
            <w:pPr>
              <w:rPr>
                <w:rFonts w:ascii="宋体" w:hAnsi="宋体" w:cs="宋体"/>
                <w:bCs/>
                <w:szCs w:val="21"/>
              </w:rPr>
            </w:pPr>
            <w:r>
              <w:rPr>
                <w:rFonts w:hint="eastAsia" w:ascii="宋体" w:hAnsi="宋体" w:cs="宋体"/>
                <w:bCs/>
                <w:szCs w:val="21"/>
              </w:rPr>
              <w:t>本项目的磋商活动及其相关当事人应当接受相关监督管理部门的监督。</w:t>
            </w:r>
          </w:p>
        </w:tc>
      </w:tr>
      <w:tr w14:paraId="7F5EE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D5F94E1">
            <w:pPr>
              <w:jc w:val="center"/>
              <w:rPr>
                <w:rFonts w:ascii="宋体" w:hAnsi="宋体" w:cs="宋体"/>
                <w:bCs/>
                <w:szCs w:val="21"/>
              </w:rPr>
            </w:pPr>
            <w:r>
              <w:rPr>
                <w:rFonts w:hint="eastAsia" w:ascii="宋体" w:hAnsi="宋体" w:cs="宋体"/>
                <w:bCs/>
                <w:szCs w:val="21"/>
              </w:rPr>
              <w:t>10.8</w:t>
            </w:r>
          </w:p>
        </w:tc>
        <w:tc>
          <w:tcPr>
            <w:tcW w:w="2022" w:type="dxa"/>
            <w:tcBorders>
              <w:top w:val="single" w:color="auto" w:sz="4" w:space="0"/>
              <w:left w:val="single" w:color="auto" w:sz="4" w:space="0"/>
              <w:bottom w:val="single" w:color="auto" w:sz="4" w:space="0"/>
              <w:right w:val="single" w:color="auto" w:sz="4" w:space="0"/>
            </w:tcBorders>
            <w:vAlign w:val="center"/>
          </w:tcPr>
          <w:p w14:paraId="240C0995">
            <w:pPr>
              <w:jc w:val="center"/>
              <w:rPr>
                <w:rFonts w:ascii="宋体" w:hAnsi="宋体" w:cs="宋体"/>
                <w:bCs/>
                <w:szCs w:val="21"/>
              </w:rPr>
            </w:pPr>
            <w:r>
              <w:rPr>
                <w:rFonts w:hint="eastAsia" w:ascii="宋体" w:hAnsi="宋体" w:cs="宋体"/>
                <w:bCs/>
                <w:szCs w:val="21"/>
              </w:rPr>
              <w:t>解释权</w:t>
            </w:r>
          </w:p>
        </w:tc>
        <w:tc>
          <w:tcPr>
            <w:tcW w:w="6216" w:type="dxa"/>
            <w:tcBorders>
              <w:top w:val="single" w:color="auto" w:sz="4" w:space="0"/>
              <w:left w:val="single" w:color="auto" w:sz="4" w:space="0"/>
              <w:bottom w:val="single" w:color="auto" w:sz="4" w:space="0"/>
              <w:right w:val="single" w:color="auto" w:sz="4" w:space="0"/>
            </w:tcBorders>
            <w:vAlign w:val="center"/>
          </w:tcPr>
          <w:p w14:paraId="6C23F303">
            <w:pPr>
              <w:rPr>
                <w:rFonts w:ascii="宋体" w:hAnsi="宋体" w:cs="宋体"/>
                <w:bCs/>
                <w:szCs w:val="21"/>
              </w:rPr>
            </w:pPr>
            <w:r>
              <w:rPr>
                <w:rFonts w:hint="eastAsia" w:ascii="宋体" w:hAnsi="宋体" w:cs="宋体"/>
                <w:bCs/>
                <w:szCs w:val="21"/>
              </w:rPr>
              <w:t>构成本采购文件的各个组成文件应互为解释，互为说明；如有不明确或不一致，构成合同文件组成内容，以合同文件约定内容为准，且以专用合同条款约定的合同文件优先顺序解释；除采购文件中有特别规定外，仅适用于磋商阶段的规定，按竞争性磋商公告、供应商须知、评标办法、响应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tc>
      </w:tr>
      <w:tr w14:paraId="77ABE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0EA0E43">
            <w:pPr>
              <w:jc w:val="center"/>
              <w:rPr>
                <w:rFonts w:ascii="宋体" w:hAnsi="宋体" w:cs="宋体"/>
                <w:bCs/>
                <w:szCs w:val="21"/>
              </w:rPr>
            </w:pPr>
            <w:r>
              <w:rPr>
                <w:rFonts w:hint="eastAsia" w:ascii="宋体" w:hAnsi="宋体" w:cs="宋体"/>
                <w:bCs/>
                <w:szCs w:val="21"/>
              </w:rPr>
              <w:t>10.9</w:t>
            </w:r>
          </w:p>
        </w:tc>
        <w:tc>
          <w:tcPr>
            <w:tcW w:w="2022" w:type="dxa"/>
            <w:tcBorders>
              <w:top w:val="single" w:color="auto" w:sz="4" w:space="0"/>
              <w:left w:val="single" w:color="auto" w:sz="4" w:space="0"/>
              <w:bottom w:val="single" w:color="auto" w:sz="4" w:space="0"/>
              <w:right w:val="single" w:color="auto" w:sz="4" w:space="0"/>
            </w:tcBorders>
            <w:vAlign w:val="center"/>
          </w:tcPr>
          <w:p w14:paraId="5A4ED81C">
            <w:pPr>
              <w:jc w:val="center"/>
              <w:rPr>
                <w:rFonts w:ascii="宋体" w:hAnsi="宋体" w:cs="宋体"/>
                <w:bCs/>
                <w:szCs w:val="21"/>
              </w:rPr>
            </w:pPr>
            <w:r>
              <w:rPr>
                <w:rFonts w:hint="eastAsia" w:ascii="宋体" w:hAnsi="宋体" w:cs="宋体"/>
                <w:bCs/>
                <w:szCs w:val="21"/>
              </w:rPr>
              <w:t>代理服务费</w:t>
            </w:r>
          </w:p>
        </w:tc>
        <w:tc>
          <w:tcPr>
            <w:tcW w:w="6216" w:type="dxa"/>
            <w:tcBorders>
              <w:top w:val="single" w:color="auto" w:sz="4" w:space="0"/>
              <w:left w:val="single" w:color="auto" w:sz="4" w:space="0"/>
              <w:bottom w:val="single" w:color="auto" w:sz="4" w:space="0"/>
              <w:right w:val="single" w:color="auto" w:sz="4" w:space="0"/>
            </w:tcBorders>
            <w:vAlign w:val="center"/>
          </w:tcPr>
          <w:p w14:paraId="462E6EA4">
            <w:pPr>
              <w:rPr>
                <w:rFonts w:ascii="宋体" w:hAnsi="宋体" w:cs="宋体"/>
                <w:bCs/>
                <w:szCs w:val="21"/>
              </w:rPr>
            </w:pPr>
            <w:r>
              <w:rPr>
                <w:rFonts w:hint="eastAsia" w:ascii="宋体" w:hAnsi="宋体" w:cs="宋体"/>
                <w:bCs/>
                <w:szCs w:val="21"/>
              </w:rPr>
              <w:t>采购代理机构以预算金额为计算基数，依据采购人与代理机构约定的代理服务费收费办法，按差额定率累进法计算，向中标供应商收取。交易服务费采用转账的方式，账户信息如下：</w:t>
            </w:r>
          </w:p>
          <w:p w14:paraId="1794C1CD">
            <w:pPr>
              <w:rPr>
                <w:rFonts w:ascii="宋体" w:hAnsi="宋体" w:cs="宋体"/>
                <w:bCs/>
                <w:szCs w:val="21"/>
              </w:rPr>
            </w:pPr>
            <w:r>
              <w:rPr>
                <w:rFonts w:hint="eastAsia" w:ascii="宋体" w:hAnsi="宋体" w:cs="宋体"/>
                <w:bCs/>
                <w:szCs w:val="21"/>
              </w:rPr>
              <w:t>户名：深圳市深水水务咨询有限公司</w:t>
            </w:r>
          </w:p>
          <w:p w14:paraId="327356FA">
            <w:pPr>
              <w:rPr>
                <w:rFonts w:ascii="宋体" w:hAnsi="宋体" w:cs="宋体"/>
                <w:bCs/>
                <w:szCs w:val="21"/>
              </w:rPr>
            </w:pPr>
            <w:r>
              <w:rPr>
                <w:rFonts w:hint="eastAsia" w:ascii="宋体" w:hAnsi="宋体" w:cs="宋体"/>
                <w:bCs/>
                <w:szCs w:val="21"/>
              </w:rPr>
              <w:t>账号：443899991010003343618</w:t>
            </w:r>
          </w:p>
          <w:p w14:paraId="4EF74D6D">
            <w:pPr>
              <w:rPr>
                <w:rFonts w:ascii="宋体" w:hAnsi="宋体" w:cs="宋体"/>
                <w:bCs/>
                <w:szCs w:val="21"/>
              </w:rPr>
            </w:pPr>
            <w:r>
              <w:rPr>
                <w:rFonts w:hint="eastAsia" w:ascii="宋体" w:hAnsi="宋体" w:cs="宋体"/>
                <w:bCs/>
                <w:szCs w:val="21"/>
              </w:rPr>
              <w:t>开户行：交通银行深圳金叶支行</w:t>
            </w:r>
          </w:p>
        </w:tc>
      </w:tr>
      <w:tr w14:paraId="74AA5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231" w:type="dxa"/>
            <w:gridSpan w:val="3"/>
            <w:tcBorders>
              <w:top w:val="single" w:color="auto" w:sz="4" w:space="0"/>
              <w:left w:val="single" w:color="auto" w:sz="4" w:space="0"/>
              <w:bottom w:val="single" w:color="auto" w:sz="4" w:space="0"/>
              <w:right w:val="single" w:color="auto" w:sz="4" w:space="0"/>
            </w:tcBorders>
            <w:vAlign w:val="center"/>
          </w:tcPr>
          <w:p w14:paraId="04F263F6">
            <w:pPr>
              <w:rPr>
                <w:rFonts w:ascii="宋体" w:hAnsi="宋体" w:cs="宋体"/>
                <w:bCs/>
                <w:szCs w:val="21"/>
              </w:rPr>
            </w:pPr>
            <w:r>
              <w:rPr>
                <w:rFonts w:hint="eastAsia" w:ascii="宋体" w:hAnsi="宋体" w:cs="宋体"/>
                <w:bCs/>
                <w:szCs w:val="21"/>
              </w:rPr>
              <w:t>10.10采购人补充的其他内容</w:t>
            </w:r>
          </w:p>
        </w:tc>
      </w:tr>
      <w:tr w14:paraId="299C6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A8E813C">
            <w:pPr>
              <w:jc w:val="center"/>
              <w:rPr>
                <w:rFonts w:ascii="宋体" w:hAnsi="宋体" w:cs="宋体"/>
                <w:bCs/>
                <w:szCs w:val="21"/>
              </w:rPr>
            </w:pPr>
            <w:r>
              <w:rPr>
                <w:rFonts w:hint="eastAsia" w:ascii="宋体" w:hAnsi="宋体" w:cs="宋体"/>
                <w:bCs/>
                <w:szCs w:val="21"/>
              </w:rPr>
              <w:t>10.10.1</w:t>
            </w:r>
          </w:p>
        </w:tc>
        <w:tc>
          <w:tcPr>
            <w:tcW w:w="2022" w:type="dxa"/>
            <w:tcBorders>
              <w:top w:val="single" w:color="auto" w:sz="4" w:space="0"/>
              <w:left w:val="single" w:color="auto" w:sz="4" w:space="0"/>
              <w:bottom w:val="single" w:color="auto" w:sz="4" w:space="0"/>
              <w:right w:val="single" w:color="auto" w:sz="4" w:space="0"/>
            </w:tcBorders>
            <w:vAlign w:val="center"/>
          </w:tcPr>
          <w:p w14:paraId="0DCF1A2C">
            <w:pPr>
              <w:jc w:val="center"/>
              <w:rPr>
                <w:rFonts w:ascii="宋体" w:hAnsi="宋体" w:cs="宋体"/>
                <w:bCs/>
                <w:szCs w:val="21"/>
              </w:rPr>
            </w:pPr>
            <w:r>
              <w:rPr>
                <w:rFonts w:hint="eastAsia" w:ascii="宋体" w:hAnsi="宋体" w:cs="宋体"/>
                <w:bCs/>
                <w:szCs w:val="21"/>
              </w:rPr>
              <w:t>供应商提供虚假资料</w:t>
            </w:r>
          </w:p>
        </w:tc>
        <w:tc>
          <w:tcPr>
            <w:tcW w:w="6216" w:type="dxa"/>
            <w:tcBorders>
              <w:top w:val="single" w:color="auto" w:sz="4" w:space="0"/>
              <w:left w:val="single" w:color="auto" w:sz="4" w:space="0"/>
              <w:bottom w:val="single" w:color="auto" w:sz="4" w:space="0"/>
              <w:right w:val="single" w:color="auto" w:sz="4" w:space="0"/>
            </w:tcBorders>
            <w:vAlign w:val="center"/>
          </w:tcPr>
          <w:p w14:paraId="43826909">
            <w:pPr>
              <w:ind w:firstLine="420" w:firstLineChars="200"/>
              <w:rPr>
                <w:rFonts w:ascii="宋体" w:hAnsi="宋体" w:cs="宋体"/>
                <w:bCs/>
                <w:szCs w:val="21"/>
              </w:rPr>
            </w:pPr>
            <w:r>
              <w:rPr>
                <w:rFonts w:hint="eastAsia" w:ascii="宋体" w:hAnsi="宋体" w:cs="宋体"/>
                <w:bCs/>
                <w:szCs w:val="21"/>
              </w:rPr>
              <w:t>采购人将进一步核查供应商在响应文件中提供的材料，若在评标期间发现供应商提供了虚假资料，采购人有权要求磋商小组对供应商的响应文件否决，若在评标结果公示期间发现作为成交候选供应商的供应商提供了虚假资料，采购人有权取消其成交资格，同时采购人将供应商上述弄虚作假行为</w:t>
            </w:r>
            <w:r>
              <w:rPr>
                <w:rFonts w:hint="eastAsia" w:ascii="宋体" w:hAnsi="宋体" w:cs="宋体"/>
                <w:szCs w:val="21"/>
              </w:rPr>
              <w:t>按照相关部门建筑市场不良行为记录管理相关规定，上报行业主管部门后，记入不良行为记录，不良行为记录统一在相关网上进行公示。</w:t>
            </w:r>
          </w:p>
        </w:tc>
      </w:tr>
      <w:tr w14:paraId="12024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8"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1E28498">
            <w:pPr>
              <w:rPr>
                <w:rFonts w:ascii="宋体" w:hAnsi="宋体" w:cs="宋体"/>
                <w:bCs/>
                <w:szCs w:val="21"/>
              </w:rPr>
            </w:pPr>
            <w:r>
              <w:rPr>
                <w:rFonts w:hint="eastAsia" w:ascii="宋体" w:hAnsi="宋体" w:cs="宋体"/>
                <w:bCs/>
                <w:szCs w:val="21"/>
              </w:rPr>
              <w:t>10.10.2</w:t>
            </w:r>
          </w:p>
        </w:tc>
        <w:tc>
          <w:tcPr>
            <w:tcW w:w="2022" w:type="dxa"/>
            <w:tcBorders>
              <w:top w:val="single" w:color="auto" w:sz="4" w:space="0"/>
              <w:left w:val="single" w:color="auto" w:sz="4" w:space="0"/>
              <w:bottom w:val="single" w:color="auto" w:sz="4" w:space="0"/>
              <w:right w:val="single" w:color="auto" w:sz="4" w:space="0"/>
            </w:tcBorders>
            <w:vAlign w:val="center"/>
          </w:tcPr>
          <w:p w14:paraId="47E6A4AB">
            <w:pPr>
              <w:jc w:val="center"/>
              <w:rPr>
                <w:rFonts w:ascii="宋体" w:hAnsi="宋体" w:cs="宋体"/>
                <w:bCs/>
                <w:szCs w:val="21"/>
              </w:rPr>
            </w:pPr>
            <w:r>
              <w:rPr>
                <w:rFonts w:hint="eastAsia" w:ascii="宋体" w:hAnsi="宋体" w:cs="宋体"/>
                <w:bCs/>
                <w:szCs w:val="21"/>
              </w:rPr>
              <w:t>其他</w:t>
            </w:r>
          </w:p>
        </w:tc>
        <w:tc>
          <w:tcPr>
            <w:tcW w:w="6216" w:type="dxa"/>
            <w:tcBorders>
              <w:top w:val="single" w:color="auto" w:sz="4" w:space="0"/>
              <w:left w:val="single" w:color="auto" w:sz="4" w:space="0"/>
              <w:bottom w:val="single" w:color="auto" w:sz="4" w:space="0"/>
              <w:right w:val="single" w:color="auto" w:sz="4" w:space="0"/>
            </w:tcBorders>
            <w:vAlign w:val="center"/>
          </w:tcPr>
          <w:p w14:paraId="46FDF4E0">
            <w:pPr>
              <w:rPr>
                <w:rFonts w:ascii="宋体" w:hAnsi="宋体" w:cs="宋体"/>
                <w:bCs/>
                <w:szCs w:val="21"/>
              </w:rPr>
            </w:pPr>
            <w:r>
              <w:rPr>
                <w:rFonts w:hint="eastAsia" w:ascii="宋体" w:hAnsi="宋体" w:cs="宋体"/>
                <w:bCs/>
                <w:szCs w:val="21"/>
              </w:rPr>
              <w:t>1、</w:t>
            </w:r>
            <w:bookmarkStart w:id="24" w:name="_Hlk151797911"/>
            <w:r>
              <w:rPr>
                <w:rFonts w:hint="eastAsia" w:ascii="宋体" w:hAnsi="宋体" w:cs="宋体"/>
                <w:bCs/>
                <w:szCs w:val="21"/>
              </w:rPr>
              <w:t>本项目实行网下纸质答疑，凡对采购文件有任何疑问的（包括但不限于认为采购文件的技术指标或参数存在排他性或歧视性条款等），请于供应商在获取采购文件或者采购文件公告期限届满之日起7个工作日内一次性提出针对同一采购程序环节的采购文件提出质疑，根据《中华人民共和国政府采购法》第六章、《中华人民共和国政府采购法实施条例》的有关质疑的指引及要求填写质疑函件，</w:t>
            </w:r>
            <w:r>
              <w:rPr>
                <w:rFonts w:hint="eastAsia" w:ascii="宋体" w:hAnsi="宋体" w:cs="宋体"/>
                <w:szCs w:val="21"/>
                <w:shd w:val="clear" w:color="auto" w:fill="FFFFFF"/>
              </w:rPr>
              <w:t>并将质疑函件以及相关质疑内容的证明材料原件送达深圳市深水水务咨询有限公司，逾期不受理。</w:t>
            </w:r>
            <w:bookmarkEnd w:id="24"/>
            <w:r>
              <w:rPr>
                <w:rFonts w:hint="eastAsia" w:ascii="宋体" w:hAnsi="宋体" w:cs="宋体"/>
                <w:bCs/>
                <w:szCs w:val="21"/>
              </w:rPr>
              <w:t>对于未在规定时间内提出的疑问事项，采购人及采购代理机构将不予受理。对于参与响应的供应商，视为已充分理解并接受采购文件及相关回答补充等资料。</w:t>
            </w:r>
          </w:p>
          <w:p w14:paraId="30B44959">
            <w:pPr>
              <w:rPr>
                <w:rFonts w:ascii="宋体" w:hAnsi="宋体" w:cs="宋体"/>
                <w:bCs/>
                <w:szCs w:val="21"/>
              </w:rPr>
            </w:pPr>
            <w:r>
              <w:rPr>
                <w:rFonts w:hint="eastAsia" w:ascii="宋体" w:hAnsi="宋体" w:cs="宋体"/>
                <w:bCs/>
                <w:szCs w:val="21"/>
              </w:rPr>
              <w:t>2、供应商不得泄露采购文件和响应书的商业和技术秘密；</w:t>
            </w:r>
          </w:p>
          <w:p w14:paraId="4F89048A">
            <w:pPr>
              <w:rPr>
                <w:rFonts w:ascii="宋体" w:hAnsi="宋体" w:cs="宋体"/>
                <w:bCs/>
                <w:szCs w:val="21"/>
              </w:rPr>
            </w:pPr>
            <w:r>
              <w:rPr>
                <w:rFonts w:hint="eastAsia" w:ascii="宋体" w:hAnsi="宋体" w:cs="宋体"/>
                <w:bCs/>
                <w:szCs w:val="21"/>
              </w:rPr>
              <w:t>3、请供应商认真阅读采购文件，按磋商价文件中的要求制定响应文件；</w:t>
            </w:r>
          </w:p>
          <w:p w14:paraId="5F663178">
            <w:pPr>
              <w:rPr>
                <w:rFonts w:ascii="宋体" w:hAnsi="宋体" w:cs="宋体"/>
                <w:bCs/>
                <w:szCs w:val="21"/>
              </w:rPr>
            </w:pPr>
            <w:r>
              <w:rPr>
                <w:rFonts w:hint="eastAsia" w:ascii="宋体" w:hAnsi="宋体" w:cs="宋体"/>
                <w:bCs/>
                <w:szCs w:val="21"/>
              </w:rPr>
              <w:t>4、各供应商需及时从相关网站（如竞争性磋商公告所示网址）中自行下载采购文件、补充文件等与磋商有关的资料，如因不下载或下载不及时，所引起与磋商有关的一切后果责任自负。如对下载的以上资料有疑问的，请及时提出。各潜在供应商在响应截止时间前，每天均应登录相关网站（如竞争性磋商公告所示网址）查看或下载有关资料信息；</w:t>
            </w:r>
          </w:p>
          <w:p w14:paraId="79171E4D">
            <w:pPr>
              <w:rPr>
                <w:rFonts w:ascii="宋体" w:hAnsi="宋体" w:cs="宋体"/>
                <w:bCs/>
                <w:szCs w:val="21"/>
              </w:rPr>
            </w:pPr>
            <w:r>
              <w:rPr>
                <w:rFonts w:hint="eastAsia" w:ascii="宋体" w:hAnsi="宋体" w:cs="宋体"/>
                <w:bCs/>
                <w:szCs w:val="21"/>
              </w:rPr>
              <w:t>5、供应商应依法行使自己的质疑、投诉权利。对于恶意质疑、投诉、弄虚作假及其他违法违规行为的，一经查实，将按照有关规定进行处理。</w:t>
            </w:r>
          </w:p>
        </w:tc>
      </w:tr>
      <w:tr w14:paraId="0C54C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30C4C852">
            <w:pPr>
              <w:jc w:val="center"/>
              <w:rPr>
                <w:rFonts w:ascii="宋体" w:hAnsi="宋体" w:cs="宋体"/>
                <w:bCs/>
                <w:szCs w:val="21"/>
              </w:rPr>
            </w:pPr>
            <w:r>
              <w:rPr>
                <w:rFonts w:hint="eastAsia" w:ascii="宋体" w:hAnsi="宋体" w:cs="宋体"/>
                <w:bCs/>
                <w:szCs w:val="21"/>
              </w:rPr>
              <w:t>10.10.3</w:t>
            </w:r>
          </w:p>
        </w:tc>
        <w:tc>
          <w:tcPr>
            <w:tcW w:w="2022" w:type="dxa"/>
            <w:tcBorders>
              <w:top w:val="single" w:color="auto" w:sz="4" w:space="0"/>
              <w:left w:val="single" w:color="auto" w:sz="4" w:space="0"/>
              <w:bottom w:val="single" w:color="auto" w:sz="4" w:space="0"/>
              <w:right w:val="single" w:color="auto" w:sz="4" w:space="0"/>
            </w:tcBorders>
            <w:vAlign w:val="center"/>
          </w:tcPr>
          <w:p w14:paraId="2FA99624">
            <w:pPr>
              <w:jc w:val="center"/>
              <w:rPr>
                <w:rFonts w:ascii="宋体" w:hAnsi="宋体" w:cs="宋体"/>
                <w:bCs/>
                <w:szCs w:val="21"/>
              </w:rPr>
            </w:pPr>
            <w:r>
              <w:rPr>
                <w:rFonts w:hint="eastAsia" w:ascii="宋体" w:hAnsi="宋体" w:cs="宋体"/>
                <w:bCs/>
                <w:szCs w:val="21"/>
              </w:rPr>
              <w:t>合同签订地点</w:t>
            </w:r>
          </w:p>
        </w:tc>
        <w:tc>
          <w:tcPr>
            <w:tcW w:w="6216" w:type="dxa"/>
            <w:tcBorders>
              <w:top w:val="single" w:color="auto" w:sz="4" w:space="0"/>
              <w:left w:val="single" w:color="auto" w:sz="4" w:space="0"/>
              <w:bottom w:val="single" w:color="auto" w:sz="4" w:space="0"/>
              <w:right w:val="single" w:color="auto" w:sz="4" w:space="0"/>
            </w:tcBorders>
            <w:vAlign w:val="center"/>
          </w:tcPr>
          <w:p w14:paraId="4A1DDCBC">
            <w:pPr>
              <w:rPr>
                <w:rFonts w:ascii="宋体" w:hAnsi="宋体" w:cs="宋体"/>
                <w:bCs/>
                <w:szCs w:val="21"/>
              </w:rPr>
            </w:pPr>
            <w:r>
              <w:rPr>
                <w:rFonts w:hint="eastAsia" w:ascii="宋体" w:hAnsi="宋体" w:cs="宋体"/>
                <w:bCs/>
                <w:szCs w:val="21"/>
              </w:rPr>
              <w:t>采购人指定地点</w:t>
            </w:r>
          </w:p>
        </w:tc>
      </w:tr>
    </w:tbl>
    <w:p w14:paraId="0EF14B13">
      <w:pPr>
        <w:spacing w:line="400" w:lineRule="exact"/>
        <w:ind w:firstLine="480" w:firstLineChars="200"/>
        <w:rPr>
          <w:rFonts w:ascii="宋体" w:hAnsi="宋体" w:cs="宋体"/>
          <w:bCs/>
          <w:sz w:val="24"/>
        </w:rPr>
      </w:pPr>
      <w:r>
        <w:rPr>
          <w:rFonts w:hint="eastAsia" w:ascii="宋体" w:hAnsi="宋体" w:cs="宋体"/>
          <w:bCs/>
          <w:sz w:val="24"/>
        </w:rPr>
        <w:t>注：</w:t>
      </w:r>
    </w:p>
    <w:p w14:paraId="1825067C">
      <w:pPr>
        <w:spacing w:line="400" w:lineRule="exact"/>
        <w:ind w:firstLine="480" w:firstLineChars="200"/>
        <w:rPr>
          <w:rFonts w:ascii="宋体" w:hAnsi="宋体" w:cs="宋体"/>
          <w:bCs/>
          <w:sz w:val="24"/>
        </w:rPr>
      </w:pPr>
      <w:r>
        <w:rPr>
          <w:rFonts w:ascii="宋体" w:hAnsi="宋体" w:cs="宋体"/>
          <w:bCs/>
          <w:sz w:val="24"/>
        </w:rPr>
        <w:t>1.采购文件其他内容如有与此表不一致的，以此表为准，违背法律法规的除外。</w:t>
      </w:r>
    </w:p>
    <w:p w14:paraId="67EBD923">
      <w:pPr>
        <w:spacing w:line="400" w:lineRule="exact"/>
        <w:ind w:firstLine="480" w:firstLineChars="200"/>
        <w:rPr>
          <w:rFonts w:ascii="宋体" w:hAnsi="宋体" w:cs="宋体"/>
          <w:bCs/>
          <w:sz w:val="24"/>
        </w:rPr>
      </w:pPr>
      <w:r>
        <w:rPr>
          <w:rFonts w:ascii="宋体" w:hAnsi="宋体" w:cs="宋体"/>
          <w:bCs/>
          <w:sz w:val="24"/>
        </w:rPr>
        <w:t>2.构成本采购文件的各个组成文件应互为解释、互为说明。同一文件就同一事项的约定不一致的，以逻辑顺序在后者为准</w:t>
      </w:r>
      <w:r>
        <w:rPr>
          <w:rFonts w:hint="eastAsia" w:ascii="宋体" w:hAnsi="宋体" w:cs="宋体"/>
          <w:bCs/>
          <w:sz w:val="24"/>
        </w:rPr>
        <w:t>；</w:t>
      </w:r>
      <w:r>
        <w:rPr>
          <w:rFonts w:ascii="宋体" w:hAnsi="宋体" w:cs="宋体"/>
          <w:bCs/>
          <w:sz w:val="24"/>
        </w:rPr>
        <w:t>同一文件不同版本之间不一致的，以形成时间在后者为准；按本款前述约定仍不能形成结论的，由采购人或其委托</w:t>
      </w:r>
      <w:r>
        <w:rPr>
          <w:rFonts w:hint="eastAsia" w:ascii="宋体" w:hAnsi="宋体" w:cs="宋体"/>
          <w:bCs/>
          <w:sz w:val="24"/>
        </w:rPr>
        <w:t>的代理人负责解释。</w:t>
      </w:r>
    </w:p>
    <w:p w14:paraId="004360EE">
      <w:pPr>
        <w:spacing w:beforeLines="50" w:afterLines="100"/>
        <w:ind w:firstLine="480" w:firstLineChars="200"/>
        <w:rPr>
          <w:rFonts w:ascii="宋体" w:hAnsi="宋体" w:cs="宋体"/>
          <w:bCs/>
          <w:sz w:val="24"/>
        </w:rPr>
      </w:pPr>
      <w:r>
        <w:rPr>
          <w:rFonts w:ascii="宋体" w:hAnsi="宋体" w:cs="宋体"/>
          <w:bCs/>
          <w:sz w:val="24"/>
        </w:rPr>
        <w:t>3.采购文件未尽事宜，按照相关法律法规执行。</w:t>
      </w:r>
    </w:p>
    <w:p w14:paraId="29E95361">
      <w:pPr>
        <w:spacing w:beforeLines="50" w:afterLines="100"/>
        <w:jc w:val="center"/>
        <w:outlineLvl w:val="1"/>
        <w:rPr>
          <w:rFonts w:ascii="宋体" w:hAnsi="宋体" w:cs="宋体"/>
          <w:b/>
          <w:szCs w:val="21"/>
        </w:rPr>
      </w:pPr>
      <w:r>
        <w:br w:type="page"/>
      </w:r>
      <w:bookmarkStart w:id="25" w:name="_Toc21251"/>
      <w:bookmarkStart w:id="26" w:name="_Toc29425"/>
      <w:bookmarkStart w:id="27" w:name="_Toc17457"/>
      <w:r>
        <w:rPr>
          <w:rStyle w:val="95"/>
          <w:rFonts w:hint="eastAsia" w:ascii="宋体" w:hAnsi="宋体" w:cs="宋体"/>
          <w:sz w:val="28"/>
          <w:szCs w:val="28"/>
        </w:rPr>
        <w:t>竞争性磋商须知</w:t>
      </w:r>
      <w:bookmarkEnd w:id="25"/>
      <w:bookmarkEnd w:id="26"/>
      <w:bookmarkEnd w:id="27"/>
    </w:p>
    <w:p w14:paraId="278F7FC3">
      <w:pPr>
        <w:pStyle w:val="125"/>
        <w:spacing w:before="0" w:line="360" w:lineRule="auto"/>
        <w:outlineLvl w:val="2"/>
        <w:rPr>
          <w:rFonts w:ascii="宋体" w:hAnsi="宋体"/>
          <w:b/>
          <w:sz w:val="24"/>
          <w:szCs w:val="24"/>
        </w:rPr>
      </w:pPr>
      <w:bookmarkStart w:id="28" w:name="_Toc152042305"/>
      <w:bookmarkStart w:id="29" w:name="_Toc20161"/>
      <w:bookmarkStart w:id="30" w:name="_Toc152045529"/>
      <w:bookmarkStart w:id="31" w:name="_Toc21045"/>
      <w:bookmarkStart w:id="32" w:name="_Toc1284"/>
      <w:bookmarkStart w:id="33" w:name="_Toc179632546"/>
      <w:bookmarkStart w:id="34" w:name="_Toc144974497"/>
      <w:r>
        <w:rPr>
          <w:rFonts w:ascii="宋体" w:hAnsi="宋体"/>
          <w:b/>
          <w:sz w:val="24"/>
          <w:szCs w:val="24"/>
        </w:rPr>
        <w:t>1.总则</w:t>
      </w:r>
      <w:bookmarkEnd w:id="28"/>
      <w:bookmarkEnd w:id="29"/>
      <w:bookmarkEnd w:id="30"/>
      <w:bookmarkEnd w:id="31"/>
      <w:bookmarkEnd w:id="32"/>
      <w:bookmarkEnd w:id="33"/>
      <w:bookmarkEnd w:id="34"/>
    </w:p>
    <w:p w14:paraId="7E3ECEC4">
      <w:pPr>
        <w:pStyle w:val="113"/>
        <w:numPr>
          <w:ilvl w:val="0"/>
          <w:numId w:val="0"/>
        </w:numPr>
        <w:spacing w:line="360" w:lineRule="auto"/>
        <w:outlineLvl w:val="9"/>
        <w:rPr>
          <w:rFonts w:eastAsia="宋体"/>
          <w:b/>
          <w:sz w:val="21"/>
          <w:szCs w:val="21"/>
        </w:rPr>
      </w:pPr>
      <w:bookmarkStart w:id="35" w:name="_Toc144974498"/>
      <w:bookmarkStart w:id="36" w:name="_Toc179632547"/>
      <w:bookmarkStart w:id="37" w:name="_Toc152045530"/>
      <w:bookmarkStart w:id="38" w:name="_Toc152042306"/>
      <w:r>
        <w:rPr>
          <w:rFonts w:eastAsia="宋体"/>
          <w:b/>
          <w:szCs w:val="24"/>
        </w:rPr>
        <w:t xml:space="preserve">1.1 </w:t>
      </w:r>
      <w:r>
        <w:rPr>
          <w:rFonts w:hint="eastAsia" w:eastAsia="宋体"/>
          <w:b/>
          <w:szCs w:val="24"/>
        </w:rPr>
        <w:t>项目概况</w:t>
      </w:r>
      <w:bookmarkEnd w:id="35"/>
      <w:bookmarkEnd w:id="36"/>
      <w:bookmarkEnd w:id="37"/>
      <w:bookmarkEnd w:id="38"/>
    </w:p>
    <w:p w14:paraId="20A2B454">
      <w:pPr>
        <w:spacing w:line="360" w:lineRule="auto"/>
        <w:ind w:firstLine="480" w:firstLineChars="200"/>
        <w:rPr>
          <w:rFonts w:ascii="宋体" w:hAnsi="宋体" w:cs="宋体"/>
          <w:bCs/>
          <w:sz w:val="24"/>
        </w:rPr>
      </w:pPr>
      <w:r>
        <w:rPr>
          <w:rFonts w:ascii="宋体" w:hAnsi="宋体" w:cs="宋体"/>
          <w:bCs/>
          <w:sz w:val="24"/>
        </w:rPr>
        <w:t>1.1.1根据</w:t>
      </w:r>
      <w:r>
        <w:rPr>
          <w:rFonts w:ascii="宋体" w:hAnsi="宋体" w:cs="宋体"/>
          <w:kern w:val="0"/>
          <w:sz w:val="24"/>
        </w:rPr>
        <w:t>《</w:t>
      </w:r>
      <w:r>
        <w:rPr>
          <w:rFonts w:hint="eastAsia" w:ascii="宋体" w:hAnsi="宋体" w:cs="宋体"/>
          <w:kern w:val="0"/>
          <w:sz w:val="24"/>
        </w:rPr>
        <w:t>中华人民共和国政府采购法</w:t>
      </w:r>
      <w:r>
        <w:rPr>
          <w:rFonts w:ascii="宋体" w:hAnsi="宋体" w:cs="宋体"/>
          <w:kern w:val="0"/>
          <w:sz w:val="24"/>
        </w:rPr>
        <w:t>》《</w:t>
      </w:r>
      <w:r>
        <w:rPr>
          <w:rFonts w:hint="eastAsia" w:ascii="宋体" w:hAnsi="宋体" w:cs="宋体"/>
          <w:kern w:val="0"/>
          <w:sz w:val="24"/>
        </w:rPr>
        <w:t>中华人民共和国政府采购法实施条例</w:t>
      </w:r>
      <w:r>
        <w:rPr>
          <w:rFonts w:ascii="宋体" w:hAnsi="宋体" w:cs="宋体"/>
          <w:kern w:val="0"/>
          <w:sz w:val="24"/>
        </w:rPr>
        <w:t>》</w:t>
      </w:r>
      <w:r>
        <w:rPr>
          <w:rFonts w:hint="eastAsia" w:ascii="宋体" w:hAnsi="宋体" w:cs="宋体"/>
          <w:bCs/>
          <w:sz w:val="24"/>
        </w:rPr>
        <w:t>《</w:t>
      </w:r>
      <w:bookmarkStart w:id="39" w:name="OLE_LINK1"/>
      <w:r>
        <w:rPr>
          <w:rFonts w:hint="eastAsia" w:ascii="宋体" w:hAnsi="宋体" w:cs="宋体"/>
          <w:bCs/>
          <w:sz w:val="24"/>
        </w:rPr>
        <w:t>政府采购竞争性磋商采购方式管理暂行办法</w:t>
      </w:r>
      <w:bookmarkEnd w:id="39"/>
      <w:r>
        <w:rPr>
          <w:rFonts w:hint="eastAsia" w:ascii="宋体" w:hAnsi="宋体" w:cs="宋体"/>
          <w:bCs/>
          <w:sz w:val="24"/>
        </w:rPr>
        <w:t>》等有关法律、法规和规章的规定，本采购项目已具备采购条件，现对本项目进行竞争性磋商采购。</w:t>
      </w:r>
    </w:p>
    <w:p w14:paraId="07F97596">
      <w:pPr>
        <w:spacing w:line="360" w:lineRule="auto"/>
        <w:ind w:firstLine="480" w:firstLineChars="200"/>
        <w:rPr>
          <w:rFonts w:ascii="宋体" w:hAnsi="宋体" w:cs="宋体"/>
          <w:bCs/>
          <w:sz w:val="24"/>
        </w:rPr>
      </w:pPr>
      <w:r>
        <w:rPr>
          <w:rFonts w:ascii="宋体" w:hAnsi="宋体" w:cs="宋体"/>
          <w:bCs/>
          <w:sz w:val="24"/>
        </w:rPr>
        <w:t xml:space="preserve">1.1.2 </w:t>
      </w:r>
      <w:r>
        <w:rPr>
          <w:rFonts w:hint="eastAsia" w:ascii="宋体" w:hAnsi="宋体" w:cs="宋体"/>
          <w:bCs/>
          <w:sz w:val="24"/>
        </w:rPr>
        <w:t>本采购项目采购人：见竞争性磋商须知前附表。</w:t>
      </w:r>
    </w:p>
    <w:p w14:paraId="58A9C381">
      <w:pPr>
        <w:spacing w:line="360" w:lineRule="auto"/>
        <w:ind w:firstLine="480" w:firstLineChars="200"/>
        <w:rPr>
          <w:rFonts w:ascii="宋体" w:hAnsi="宋体" w:cs="宋体"/>
          <w:bCs/>
          <w:sz w:val="24"/>
        </w:rPr>
      </w:pPr>
      <w:r>
        <w:rPr>
          <w:rFonts w:ascii="宋体" w:hAnsi="宋体" w:cs="宋体"/>
          <w:bCs/>
          <w:sz w:val="24"/>
        </w:rPr>
        <w:t xml:space="preserve">1.1.3 </w:t>
      </w:r>
      <w:r>
        <w:rPr>
          <w:rFonts w:hint="eastAsia" w:ascii="宋体" w:hAnsi="宋体" w:cs="宋体"/>
          <w:bCs/>
          <w:sz w:val="24"/>
        </w:rPr>
        <w:t>本标段采购代理机构：见竞争性磋商须知前附表。</w:t>
      </w:r>
    </w:p>
    <w:p w14:paraId="710EA3AC">
      <w:pPr>
        <w:spacing w:line="360" w:lineRule="auto"/>
        <w:ind w:firstLine="480" w:firstLineChars="200"/>
        <w:rPr>
          <w:rFonts w:ascii="宋体" w:hAnsi="宋体" w:cs="宋体"/>
          <w:bCs/>
          <w:sz w:val="24"/>
        </w:rPr>
      </w:pPr>
      <w:r>
        <w:rPr>
          <w:rFonts w:ascii="宋体" w:hAnsi="宋体" w:cs="宋体"/>
          <w:bCs/>
          <w:sz w:val="24"/>
        </w:rPr>
        <w:t xml:space="preserve">1.1.4 </w:t>
      </w:r>
      <w:r>
        <w:rPr>
          <w:rFonts w:hint="eastAsia" w:ascii="宋体" w:hAnsi="宋体" w:cs="宋体"/>
          <w:bCs/>
          <w:sz w:val="24"/>
        </w:rPr>
        <w:t>本采购项目名称：见竞争性磋商须知前附表。</w:t>
      </w:r>
    </w:p>
    <w:p w14:paraId="19AEE9CD">
      <w:pPr>
        <w:spacing w:line="360" w:lineRule="auto"/>
        <w:ind w:firstLine="480" w:firstLineChars="200"/>
        <w:rPr>
          <w:rFonts w:ascii="宋体" w:hAnsi="宋体" w:cs="宋体"/>
          <w:bCs/>
          <w:sz w:val="24"/>
        </w:rPr>
      </w:pPr>
      <w:r>
        <w:rPr>
          <w:rFonts w:ascii="宋体" w:hAnsi="宋体" w:cs="宋体"/>
          <w:bCs/>
          <w:sz w:val="24"/>
        </w:rPr>
        <w:t xml:space="preserve">1.1.5 </w:t>
      </w:r>
      <w:r>
        <w:rPr>
          <w:rFonts w:hint="eastAsia" w:ascii="宋体" w:hAnsi="宋体" w:cs="宋体"/>
          <w:bCs/>
          <w:sz w:val="24"/>
        </w:rPr>
        <w:t>本标段建设地点：见竞争性磋商须知前附表。</w:t>
      </w:r>
    </w:p>
    <w:p w14:paraId="17355727">
      <w:pPr>
        <w:pStyle w:val="113"/>
        <w:numPr>
          <w:ilvl w:val="0"/>
          <w:numId w:val="0"/>
        </w:numPr>
        <w:spacing w:line="360" w:lineRule="auto"/>
        <w:outlineLvl w:val="9"/>
        <w:rPr>
          <w:rFonts w:eastAsia="宋体"/>
          <w:b/>
          <w:szCs w:val="24"/>
        </w:rPr>
      </w:pPr>
      <w:bookmarkStart w:id="40" w:name="_Toc152042307"/>
      <w:bookmarkStart w:id="41" w:name="_Toc179632548"/>
      <w:bookmarkStart w:id="42" w:name="_Toc144974499"/>
      <w:bookmarkStart w:id="43" w:name="_Toc152045531"/>
      <w:r>
        <w:rPr>
          <w:rFonts w:eastAsia="宋体"/>
          <w:b/>
          <w:szCs w:val="24"/>
        </w:rPr>
        <w:t xml:space="preserve">1.2 </w:t>
      </w:r>
      <w:r>
        <w:rPr>
          <w:rFonts w:hint="eastAsia" w:eastAsia="宋体"/>
          <w:b/>
          <w:szCs w:val="24"/>
        </w:rPr>
        <w:t>资金来源和落实情况</w:t>
      </w:r>
      <w:bookmarkEnd w:id="40"/>
      <w:bookmarkEnd w:id="41"/>
      <w:bookmarkEnd w:id="42"/>
      <w:bookmarkEnd w:id="43"/>
    </w:p>
    <w:p w14:paraId="4D3042C7">
      <w:pPr>
        <w:spacing w:line="360" w:lineRule="auto"/>
        <w:ind w:firstLine="480" w:firstLineChars="200"/>
        <w:rPr>
          <w:rFonts w:ascii="宋体" w:hAnsi="宋体" w:cs="宋体"/>
          <w:bCs/>
          <w:sz w:val="24"/>
        </w:rPr>
      </w:pPr>
      <w:r>
        <w:rPr>
          <w:rFonts w:ascii="宋体" w:hAnsi="宋体" w:cs="宋体"/>
          <w:bCs/>
          <w:sz w:val="24"/>
        </w:rPr>
        <w:t>1.2.1本采购项目的资金来源：见竞争性磋商须知前附表。</w:t>
      </w:r>
    </w:p>
    <w:p w14:paraId="528FADFB">
      <w:pPr>
        <w:spacing w:line="360" w:lineRule="auto"/>
        <w:ind w:firstLine="480" w:firstLineChars="200"/>
        <w:rPr>
          <w:rFonts w:ascii="宋体" w:hAnsi="宋体" w:cs="宋体"/>
          <w:bCs/>
          <w:sz w:val="24"/>
        </w:rPr>
      </w:pPr>
      <w:r>
        <w:rPr>
          <w:rFonts w:ascii="宋体" w:hAnsi="宋体" w:cs="宋体"/>
          <w:bCs/>
          <w:sz w:val="24"/>
        </w:rPr>
        <w:t xml:space="preserve">1.2.2 </w:t>
      </w:r>
      <w:r>
        <w:rPr>
          <w:rFonts w:hint="eastAsia" w:ascii="宋体" w:hAnsi="宋体" w:cs="宋体"/>
          <w:bCs/>
          <w:sz w:val="24"/>
        </w:rPr>
        <w:t>本采购项目的出资比例：见竞争性磋商须知前附表。</w:t>
      </w:r>
    </w:p>
    <w:p w14:paraId="4FDB6A74">
      <w:pPr>
        <w:spacing w:line="360" w:lineRule="auto"/>
        <w:ind w:firstLine="480" w:firstLineChars="200"/>
        <w:rPr>
          <w:rFonts w:ascii="宋体" w:hAnsi="宋体" w:cs="宋体"/>
          <w:bCs/>
          <w:sz w:val="24"/>
        </w:rPr>
      </w:pPr>
      <w:r>
        <w:rPr>
          <w:rFonts w:ascii="宋体" w:hAnsi="宋体" w:cs="宋体"/>
          <w:bCs/>
          <w:sz w:val="24"/>
        </w:rPr>
        <w:t xml:space="preserve">1.2.3 </w:t>
      </w:r>
      <w:r>
        <w:rPr>
          <w:rFonts w:hint="eastAsia" w:ascii="宋体" w:hAnsi="宋体" w:cs="宋体"/>
          <w:bCs/>
          <w:sz w:val="24"/>
        </w:rPr>
        <w:t>本采购项目的资金落实情况：见竞争性磋商须知前附表。</w:t>
      </w:r>
    </w:p>
    <w:p w14:paraId="45E6F3F2">
      <w:pPr>
        <w:pStyle w:val="113"/>
        <w:numPr>
          <w:ilvl w:val="0"/>
          <w:numId w:val="0"/>
        </w:numPr>
        <w:spacing w:line="360" w:lineRule="auto"/>
        <w:outlineLvl w:val="9"/>
        <w:rPr>
          <w:rFonts w:eastAsia="宋体"/>
          <w:b/>
          <w:szCs w:val="24"/>
        </w:rPr>
      </w:pPr>
      <w:bookmarkStart w:id="44" w:name="_Toc144974500"/>
      <w:bookmarkStart w:id="45" w:name="_Toc152045532"/>
      <w:bookmarkStart w:id="46" w:name="_Toc152042308"/>
      <w:bookmarkStart w:id="47" w:name="_Toc179632549"/>
      <w:r>
        <w:rPr>
          <w:rFonts w:eastAsia="宋体"/>
          <w:b/>
          <w:szCs w:val="24"/>
        </w:rPr>
        <w:t xml:space="preserve">1.3 </w:t>
      </w:r>
      <w:r>
        <w:rPr>
          <w:rFonts w:hint="eastAsia" w:eastAsia="宋体"/>
          <w:b/>
          <w:szCs w:val="24"/>
        </w:rPr>
        <w:t>采购范围、计划工期和质量要求</w:t>
      </w:r>
      <w:bookmarkEnd w:id="44"/>
      <w:bookmarkEnd w:id="45"/>
      <w:bookmarkEnd w:id="46"/>
      <w:bookmarkEnd w:id="47"/>
    </w:p>
    <w:p w14:paraId="393BA987">
      <w:pPr>
        <w:spacing w:line="360" w:lineRule="auto"/>
        <w:ind w:firstLine="480" w:firstLineChars="200"/>
        <w:rPr>
          <w:rFonts w:ascii="宋体" w:hAnsi="宋体" w:cs="宋体"/>
          <w:bCs/>
          <w:sz w:val="24"/>
        </w:rPr>
      </w:pPr>
      <w:r>
        <w:rPr>
          <w:rFonts w:ascii="宋体" w:hAnsi="宋体" w:cs="宋体"/>
          <w:bCs/>
          <w:sz w:val="24"/>
        </w:rPr>
        <w:t xml:space="preserve">1.3.1 </w:t>
      </w:r>
      <w:r>
        <w:rPr>
          <w:rFonts w:hint="eastAsia" w:ascii="宋体" w:hAnsi="宋体" w:cs="宋体"/>
          <w:bCs/>
          <w:sz w:val="24"/>
        </w:rPr>
        <w:t>本次采购范围：见竞争性磋商须知前附表。</w:t>
      </w:r>
    </w:p>
    <w:p w14:paraId="580DA363">
      <w:pPr>
        <w:spacing w:line="360" w:lineRule="auto"/>
        <w:ind w:firstLine="480" w:firstLineChars="200"/>
        <w:rPr>
          <w:rFonts w:ascii="宋体" w:hAnsi="宋体" w:cs="宋体"/>
          <w:bCs/>
          <w:sz w:val="24"/>
        </w:rPr>
      </w:pPr>
      <w:r>
        <w:rPr>
          <w:rFonts w:ascii="宋体" w:hAnsi="宋体" w:cs="宋体"/>
          <w:bCs/>
          <w:sz w:val="24"/>
        </w:rPr>
        <w:t xml:space="preserve">1.3.2 </w:t>
      </w:r>
      <w:r>
        <w:rPr>
          <w:rFonts w:hint="eastAsia" w:ascii="宋体" w:hAnsi="宋体" w:cs="宋体"/>
          <w:bCs/>
          <w:sz w:val="24"/>
        </w:rPr>
        <w:t>本标段的计划工期：见竞争性磋商须知前附表。</w:t>
      </w:r>
    </w:p>
    <w:p w14:paraId="62BE77BD">
      <w:pPr>
        <w:spacing w:line="360" w:lineRule="auto"/>
        <w:ind w:firstLine="480" w:firstLineChars="200"/>
        <w:rPr>
          <w:rFonts w:ascii="宋体" w:hAnsi="宋体" w:cs="宋体"/>
          <w:bCs/>
          <w:sz w:val="24"/>
        </w:rPr>
      </w:pPr>
      <w:r>
        <w:rPr>
          <w:rFonts w:ascii="宋体" w:hAnsi="宋体" w:cs="宋体"/>
          <w:bCs/>
          <w:sz w:val="24"/>
        </w:rPr>
        <w:t xml:space="preserve">1.3.3 </w:t>
      </w:r>
      <w:r>
        <w:rPr>
          <w:rFonts w:hint="eastAsia" w:ascii="宋体" w:hAnsi="宋体" w:cs="宋体"/>
          <w:bCs/>
          <w:sz w:val="24"/>
        </w:rPr>
        <w:t>本项目的质量要求：见竞争性磋商须知前附表。</w:t>
      </w:r>
    </w:p>
    <w:p w14:paraId="2247F2FD">
      <w:pPr>
        <w:pStyle w:val="113"/>
        <w:numPr>
          <w:ilvl w:val="0"/>
          <w:numId w:val="0"/>
        </w:numPr>
        <w:spacing w:line="360" w:lineRule="auto"/>
        <w:outlineLvl w:val="9"/>
        <w:rPr>
          <w:rFonts w:eastAsia="宋体"/>
          <w:b/>
          <w:szCs w:val="24"/>
        </w:rPr>
      </w:pPr>
      <w:bookmarkStart w:id="48" w:name="_Toc152045534"/>
      <w:bookmarkStart w:id="49" w:name="_Toc152042310"/>
      <w:bookmarkStart w:id="50" w:name="_Toc144974502"/>
      <w:bookmarkStart w:id="51" w:name="_Toc179632551"/>
      <w:r>
        <w:rPr>
          <w:rFonts w:eastAsia="宋体"/>
          <w:b/>
          <w:szCs w:val="24"/>
        </w:rPr>
        <w:t xml:space="preserve">1.4 </w:t>
      </w:r>
      <w:r>
        <w:rPr>
          <w:rFonts w:hint="eastAsia" w:eastAsia="宋体"/>
          <w:b/>
          <w:szCs w:val="24"/>
        </w:rPr>
        <w:t>供应商资格要求</w:t>
      </w:r>
      <w:bookmarkEnd w:id="48"/>
      <w:bookmarkEnd w:id="49"/>
      <w:bookmarkEnd w:id="50"/>
      <w:bookmarkEnd w:id="51"/>
    </w:p>
    <w:p w14:paraId="3A1EEA0D">
      <w:pPr>
        <w:spacing w:line="360" w:lineRule="auto"/>
        <w:ind w:firstLine="480" w:firstLineChars="200"/>
        <w:rPr>
          <w:rFonts w:ascii="宋体" w:hAnsi="宋体" w:cs="宋体"/>
          <w:bCs/>
          <w:sz w:val="24"/>
        </w:rPr>
      </w:pPr>
      <w:r>
        <w:rPr>
          <w:rFonts w:hint="eastAsia" w:ascii="宋体" w:hAnsi="宋体" w:cs="宋体"/>
          <w:bCs/>
          <w:sz w:val="24"/>
        </w:rPr>
        <w:t>详见竞争性磋商公告“申请人的资格要求”。</w:t>
      </w:r>
    </w:p>
    <w:p w14:paraId="1179BC68">
      <w:pPr>
        <w:pStyle w:val="113"/>
        <w:numPr>
          <w:ilvl w:val="0"/>
          <w:numId w:val="0"/>
        </w:numPr>
        <w:spacing w:line="360" w:lineRule="auto"/>
        <w:outlineLvl w:val="9"/>
        <w:rPr>
          <w:rFonts w:eastAsia="宋体"/>
          <w:b/>
          <w:szCs w:val="24"/>
        </w:rPr>
      </w:pPr>
      <w:bookmarkStart w:id="52" w:name="_Toc152042311"/>
      <w:bookmarkStart w:id="53" w:name="_Toc144974503"/>
      <w:bookmarkStart w:id="54" w:name="_Toc179632552"/>
      <w:bookmarkStart w:id="55" w:name="_Toc152045535"/>
      <w:r>
        <w:rPr>
          <w:rFonts w:eastAsia="宋体"/>
          <w:b/>
          <w:szCs w:val="24"/>
        </w:rPr>
        <w:t>1.5费用承担</w:t>
      </w:r>
      <w:bookmarkEnd w:id="52"/>
      <w:bookmarkEnd w:id="53"/>
      <w:bookmarkEnd w:id="54"/>
      <w:bookmarkEnd w:id="55"/>
    </w:p>
    <w:p w14:paraId="5690084D">
      <w:pPr>
        <w:spacing w:line="360" w:lineRule="auto"/>
        <w:ind w:firstLine="480" w:firstLineChars="200"/>
        <w:rPr>
          <w:rFonts w:ascii="宋体" w:hAnsi="宋体" w:cs="宋体"/>
          <w:bCs/>
          <w:sz w:val="24"/>
        </w:rPr>
      </w:pPr>
      <w:r>
        <w:rPr>
          <w:rFonts w:ascii="宋体" w:hAnsi="宋体" w:cs="宋体"/>
          <w:bCs/>
          <w:sz w:val="24"/>
        </w:rPr>
        <w:t>1.5.1</w:t>
      </w:r>
      <w:r>
        <w:rPr>
          <w:rFonts w:hint="eastAsia" w:ascii="宋体" w:hAnsi="宋体" w:cs="宋体"/>
          <w:bCs/>
          <w:sz w:val="24"/>
        </w:rPr>
        <w:t>供应商准备和参加磋商活动发生的费用自理。</w:t>
      </w:r>
    </w:p>
    <w:p w14:paraId="0C18A89D">
      <w:pPr>
        <w:spacing w:line="360" w:lineRule="auto"/>
        <w:ind w:firstLine="480" w:firstLineChars="200"/>
        <w:rPr>
          <w:rFonts w:ascii="宋体" w:hAnsi="宋体" w:cs="宋体"/>
          <w:bCs/>
          <w:sz w:val="24"/>
        </w:rPr>
      </w:pPr>
      <w:r>
        <w:rPr>
          <w:rFonts w:ascii="宋体" w:hAnsi="宋体" w:cs="宋体"/>
          <w:bCs/>
          <w:sz w:val="24"/>
        </w:rPr>
        <w:t>1.5.2代理费：见竞争性磋商须知前附表</w:t>
      </w:r>
      <w:r>
        <w:rPr>
          <w:rFonts w:hint="eastAsia" w:ascii="宋体" w:hAnsi="宋体" w:cs="宋体"/>
          <w:bCs/>
          <w:sz w:val="24"/>
        </w:rPr>
        <w:t>。</w:t>
      </w:r>
    </w:p>
    <w:p w14:paraId="7C53D203">
      <w:pPr>
        <w:spacing w:line="360" w:lineRule="auto"/>
        <w:ind w:firstLine="480" w:firstLineChars="200"/>
        <w:rPr>
          <w:rFonts w:ascii="宋体" w:hAnsi="宋体" w:cs="宋体"/>
          <w:bCs/>
          <w:sz w:val="24"/>
        </w:rPr>
      </w:pPr>
      <w:r>
        <w:rPr>
          <w:rFonts w:ascii="宋体" w:hAnsi="宋体" w:cs="宋体"/>
          <w:bCs/>
          <w:sz w:val="24"/>
        </w:rPr>
        <w:t>1.5.3以上费用不单独列出，供应商自行考虑。成交供应商在领取成交通知书前支付以上费用。</w:t>
      </w:r>
    </w:p>
    <w:p w14:paraId="54001853">
      <w:pPr>
        <w:pStyle w:val="113"/>
        <w:numPr>
          <w:ilvl w:val="0"/>
          <w:numId w:val="0"/>
        </w:numPr>
        <w:spacing w:line="360" w:lineRule="auto"/>
        <w:outlineLvl w:val="9"/>
        <w:rPr>
          <w:rFonts w:eastAsia="宋体"/>
          <w:b/>
          <w:szCs w:val="24"/>
        </w:rPr>
      </w:pPr>
      <w:r>
        <w:rPr>
          <w:rFonts w:eastAsia="宋体"/>
          <w:b/>
          <w:szCs w:val="24"/>
        </w:rPr>
        <w:t>1.6保密</w:t>
      </w:r>
    </w:p>
    <w:p w14:paraId="6EEF1C17">
      <w:pPr>
        <w:spacing w:line="360" w:lineRule="auto"/>
        <w:ind w:firstLine="480" w:firstLineChars="200"/>
        <w:rPr>
          <w:rFonts w:ascii="宋体" w:hAnsi="宋体" w:cs="宋体"/>
          <w:bCs/>
          <w:sz w:val="24"/>
        </w:rPr>
      </w:pPr>
      <w:r>
        <w:rPr>
          <w:rFonts w:hint="eastAsia" w:ascii="宋体" w:hAnsi="宋体" w:cs="宋体"/>
          <w:bCs/>
          <w:sz w:val="24"/>
        </w:rPr>
        <w:t>参与磋商活动的各方应对采购文件和响应文件中的商业和技术等秘密保密，违者应对由此造成的后果承担法律责任。</w:t>
      </w:r>
    </w:p>
    <w:p w14:paraId="704216FC">
      <w:pPr>
        <w:pStyle w:val="113"/>
        <w:numPr>
          <w:ilvl w:val="0"/>
          <w:numId w:val="0"/>
        </w:numPr>
        <w:spacing w:line="360" w:lineRule="auto"/>
        <w:outlineLvl w:val="9"/>
        <w:rPr>
          <w:rFonts w:eastAsia="宋体"/>
          <w:b/>
          <w:szCs w:val="24"/>
        </w:rPr>
      </w:pPr>
      <w:bookmarkStart w:id="56" w:name="_Toc144974505"/>
      <w:bookmarkStart w:id="57" w:name="_Toc152042313"/>
      <w:bookmarkStart w:id="58" w:name="_Toc152045537"/>
      <w:bookmarkStart w:id="59" w:name="_Toc179632554"/>
      <w:r>
        <w:rPr>
          <w:rFonts w:eastAsia="宋体"/>
          <w:b/>
          <w:szCs w:val="24"/>
        </w:rPr>
        <w:t xml:space="preserve">1.7 </w:t>
      </w:r>
      <w:r>
        <w:rPr>
          <w:rFonts w:hint="eastAsia" w:eastAsia="宋体"/>
          <w:b/>
          <w:szCs w:val="24"/>
        </w:rPr>
        <w:t>语言</w:t>
      </w:r>
      <w:bookmarkEnd w:id="56"/>
      <w:r>
        <w:rPr>
          <w:rFonts w:hint="eastAsia" w:eastAsia="宋体"/>
          <w:b/>
          <w:szCs w:val="24"/>
        </w:rPr>
        <w:t>文字</w:t>
      </w:r>
      <w:bookmarkEnd w:id="57"/>
      <w:bookmarkEnd w:id="58"/>
      <w:bookmarkEnd w:id="59"/>
    </w:p>
    <w:p w14:paraId="0409FA08">
      <w:pPr>
        <w:spacing w:line="360" w:lineRule="auto"/>
        <w:ind w:firstLine="480" w:firstLineChars="200"/>
        <w:rPr>
          <w:rFonts w:ascii="宋体" w:hAnsi="宋体" w:cs="宋体"/>
          <w:bCs/>
          <w:sz w:val="24"/>
        </w:rPr>
      </w:pPr>
      <w:r>
        <w:rPr>
          <w:rFonts w:hint="eastAsia" w:ascii="宋体" w:hAnsi="宋体" w:cs="宋体"/>
          <w:bCs/>
          <w:sz w:val="24"/>
        </w:rPr>
        <w:t>除专用术语外，与磋商有关的语言均使用中文。必要时专用术语应附有中文注释。</w:t>
      </w:r>
    </w:p>
    <w:p w14:paraId="40C7008E">
      <w:pPr>
        <w:pStyle w:val="113"/>
        <w:numPr>
          <w:ilvl w:val="0"/>
          <w:numId w:val="0"/>
        </w:numPr>
        <w:spacing w:line="360" w:lineRule="auto"/>
        <w:outlineLvl w:val="9"/>
        <w:rPr>
          <w:rFonts w:eastAsia="宋体"/>
          <w:b/>
          <w:szCs w:val="24"/>
        </w:rPr>
      </w:pPr>
      <w:bookmarkStart w:id="60" w:name="_Toc152042314"/>
      <w:bookmarkStart w:id="61" w:name="_Toc179632555"/>
      <w:bookmarkStart w:id="62" w:name="_Toc144974506"/>
      <w:bookmarkStart w:id="63" w:name="_Toc152045538"/>
      <w:r>
        <w:rPr>
          <w:rFonts w:eastAsia="宋体"/>
          <w:b/>
          <w:szCs w:val="24"/>
        </w:rPr>
        <w:t xml:space="preserve">1.8 </w:t>
      </w:r>
      <w:r>
        <w:rPr>
          <w:rFonts w:hint="eastAsia" w:eastAsia="宋体"/>
          <w:b/>
          <w:szCs w:val="24"/>
        </w:rPr>
        <w:t>计量单位</w:t>
      </w:r>
      <w:bookmarkEnd w:id="60"/>
      <w:bookmarkEnd w:id="61"/>
      <w:bookmarkEnd w:id="62"/>
      <w:bookmarkEnd w:id="63"/>
    </w:p>
    <w:p w14:paraId="3DA7B5C1">
      <w:pPr>
        <w:spacing w:line="360" w:lineRule="auto"/>
        <w:ind w:firstLine="480" w:firstLineChars="200"/>
        <w:rPr>
          <w:rFonts w:ascii="宋体" w:hAnsi="宋体" w:cs="宋体"/>
          <w:bCs/>
          <w:sz w:val="24"/>
        </w:rPr>
      </w:pPr>
      <w:r>
        <w:rPr>
          <w:rFonts w:hint="eastAsia" w:ascii="宋体" w:hAnsi="宋体" w:cs="宋体"/>
          <w:bCs/>
          <w:sz w:val="24"/>
        </w:rPr>
        <w:t>所有计量均采用中华人民共和国法定计量单位。</w:t>
      </w:r>
    </w:p>
    <w:p w14:paraId="1362085B">
      <w:pPr>
        <w:pStyle w:val="113"/>
        <w:numPr>
          <w:ilvl w:val="0"/>
          <w:numId w:val="0"/>
        </w:numPr>
        <w:spacing w:line="360" w:lineRule="auto"/>
        <w:outlineLvl w:val="9"/>
        <w:rPr>
          <w:rFonts w:eastAsia="宋体"/>
          <w:b/>
          <w:szCs w:val="24"/>
        </w:rPr>
      </w:pPr>
      <w:bookmarkStart w:id="64" w:name="_Toc179632556"/>
      <w:bookmarkStart w:id="65" w:name="_Toc144974507"/>
      <w:bookmarkStart w:id="66" w:name="_Toc152042315"/>
      <w:bookmarkStart w:id="67" w:name="_Toc152045539"/>
      <w:r>
        <w:rPr>
          <w:rFonts w:eastAsia="宋体"/>
          <w:b/>
          <w:szCs w:val="24"/>
        </w:rPr>
        <w:t xml:space="preserve">1.9 </w:t>
      </w:r>
      <w:r>
        <w:rPr>
          <w:rFonts w:hint="eastAsia" w:eastAsia="宋体"/>
          <w:b/>
          <w:szCs w:val="24"/>
        </w:rPr>
        <w:t>踏勘现场</w:t>
      </w:r>
      <w:bookmarkEnd w:id="64"/>
      <w:bookmarkEnd w:id="65"/>
      <w:bookmarkEnd w:id="66"/>
      <w:bookmarkEnd w:id="67"/>
    </w:p>
    <w:p w14:paraId="6F941FBA">
      <w:pPr>
        <w:spacing w:line="360" w:lineRule="auto"/>
        <w:ind w:firstLine="480" w:firstLineChars="200"/>
        <w:rPr>
          <w:rFonts w:ascii="宋体" w:hAnsi="宋体" w:cs="宋体"/>
          <w:bCs/>
          <w:sz w:val="24"/>
        </w:rPr>
      </w:pPr>
      <w:r>
        <w:rPr>
          <w:rFonts w:ascii="宋体" w:hAnsi="宋体" w:cs="宋体"/>
          <w:bCs/>
          <w:sz w:val="24"/>
        </w:rPr>
        <w:t xml:space="preserve">1.9.1 </w:t>
      </w:r>
      <w:r>
        <w:rPr>
          <w:rFonts w:hint="eastAsia" w:ascii="宋体" w:hAnsi="宋体" w:cs="宋体"/>
          <w:bCs/>
          <w:sz w:val="24"/>
        </w:rPr>
        <w:t>竞争性磋商须知前附表规定组织踏勘现场的，采购人按竞争性磋商须知前附表规定的时间、地点组织供应商踏勘项目现场。</w:t>
      </w:r>
    </w:p>
    <w:p w14:paraId="769DE020">
      <w:pPr>
        <w:spacing w:line="360" w:lineRule="auto"/>
        <w:ind w:firstLine="480" w:firstLineChars="200"/>
        <w:rPr>
          <w:rFonts w:ascii="宋体" w:hAnsi="宋体" w:cs="宋体"/>
          <w:bCs/>
          <w:sz w:val="24"/>
        </w:rPr>
      </w:pPr>
      <w:r>
        <w:rPr>
          <w:rFonts w:ascii="宋体" w:hAnsi="宋体" w:cs="宋体"/>
          <w:bCs/>
          <w:sz w:val="24"/>
        </w:rPr>
        <w:t xml:space="preserve">1.9.2 </w:t>
      </w:r>
      <w:r>
        <w:rPr>
          <w:rFonts w:hint="eastAsia" w:ascii="宋体" w:hAnsi="宋体" w:cs="宋体"/>
          <w:bCs/>
          <w:sz w:val="24"/>
        </w:rPr>
        <w:t>供应商踏勘现场发生的费用自理。</w:t>
      </w:r>
    </w:p>
    <w:p w14:paraId="162B7E0E">
      <w:pPr>
        <w:spacing w:line="360" w:lineRule="auto"/>
        <w:ind w:firstLine="480" w:firstLineChars="200"/>
        <w:rPr>
          <w:rFonts w:ascii="宋体" w:hAnsi="宋体" w:cs="宋体"/>
          <w:bCs/>
          <w:sz w:val="24"/>
        </w:rPr>
      </w:pPr>
      <w:r>
        <w:rPr>
          <w:rFonts w:ascii="宋体" w:hAnsi="宋体" w:cs="宋体"/>
          <w:bCs/>
          <w:sz w:val="24"/>
        </w:rPr>
        <w:t xml:space="preserve">1.9.3 </w:t>
      </w:r>
      <w:r>
        <w:rPr>
          <w:rFonts w:hint="eastAsia" w:ascii="宋体" w:hAnsi="宋体" w:cs="宋体"/>
          <w:bCs/>
          <w:sz w:val="24"/>
        </w:rPr>
        <w:t>除采购人的原因外，供应商自行负责在踏勘现场中所发生的人员伤亡和财产损失等。</w:t>
      </w:r>
    </w:p>
    <w:p w14:paraId="130ADB3E">
      <w:pPr>
        <w:spacing w:line="360" w:lineRule="auto"/>
        <w:ind w:firstLine="480" w:firstLineChars="200"/>
        <w:rPr>
          <w:rFonts w:ascii="宋体" w:hAnsi="宋体" w:cs="宋体"/>
          <w:bCs/>
          <w:sz w:val="24"/>
        </w:rPr>
      </w:pPr>
      <w:r>
        <w:rPr>
          <w:rFonts w:ascii="宋体" w:hAnsi="宋体" w:cs="宋体"/>
          <w:bCs/>
          <w:sz w:val="24"/>
        </w:rPr>
        <w:t xml:space="preserve">1.9.4 </w:t>
      </w:r>
      <w:r>
        <w:rPr>
          <w:rFonts w:hint="eastAsia" w:ascii="宋体" w:hAnsi="宋体" w:cs="宋体"/>
          <w:bCs/>
          <w:sz w:val="24"/>
        </w:rPr>
        <w:t>采购人在踏勘现场中介绍的工程场地和相关的周边环境情况，供供应商在编制响应文件时参考，采购人不对供应商据此作出的判断和决策负责。</w:t>
      </w:r>
    </w:p>
    <w:p w14:paraId="54E33B00">
      <w:pPr>
        <w:pStyle w:val="113"/>
        <w:numPr>
          <w:ilvl w:val="0"/>
          <w:numId w:val="0"/>
        </w:numPr>
        <w:spacing w:line="360" w:lineRule="auto"/>
        <w:outlineLvl w:val="9"/>
        <w:rPr>
          <w:rFonts w:eastAsia="宋体"/>
          <w:b/>
          <w:szCs w:val="24"/>
        </w:rPr>
      </w:pPr>
      <w:bookmarkStart w:id="68" w:name="_Toc152045540"/>
      <w:bookmarkStart w:id="69" w:name="_Toc179632557"/>
      <w:bookmarkStart w:id="70" w:name="_Toc152042316"/>
      <w:bookmarkStart w:id="71" w:name="_Toc144974508"/>
      <w:r>
        <w:rPr>
          <w:rFonts w:eastAsia="宋体"/>
          <w:b/>
          <w:szCs w:val="24"/>
        </w:rPr>
        <w:t>1.10</w:t>
      </w:r>
      <w:bookmarkEnd w:id="68"/>
      <w:bookmarkEnd w:id="69"/>
      <w:bookmarkEnd w:id="70"/>
      <w:bookmarkEnd w:id="71"/>
      <w:r>
        <w:rPr>
          <w:rFonts w:hint="eastAsia" w:eastAsia="宋体"/>
          <w:b/>
          <w:szCs w:val="24"/>
        </w:rPr>
        <w:t>预备会</w:t>
      </w:r>
    </w:p>
    <w:p w14:paraId="264A6CDA">
      <w:pPr>
        <w:spacing w:line="360" w:lineRule="auto"/>
        <w:ind w:firstLine="480" w:firstLineChars="200"/>
        <w:rPr>
          <w:rFonts w:ascii="宋体" w:hAnsi="宋体" w:cs="宋体"/>
          <w:bCs/>
          <w:sz w:val="24"/>
        </w:rPr>
      </w:pPr>
      <w:r>
        <w:rPr>
          <w:rFonts w:ascii="宋体" w:hAnsi="宋体" w:cs="宋体"/>
          <w:bCs/>
          <w:sz w:val="24"/>
        </w:rPr>
        <w:t xml:space="preserve">1.10.1 </w:t>
      </w:r>
      <w:r>
        <w:rPr>
          <w:rFonts w:hint="eastAsia" w:ascii="宋体" w:hAnsi="宋体" w:cs="宋体"/>
          <w:bCs/>
          <w:sz w:val="24"/>
        </w:rPr>
        <w:t>竞争性磋商须知前附表规定召开预备会的，采购人按竞争性磋商须知前附表规定的时间和地点召开预备会，澄清供应商提出的问题。</w:t>
      </w:r>
    </w:p>
    <w:p w14:paraId="751CAF81">
      <w:pPr>
        <w:spacing w:line="360" w:lineRule="auto"/>
        <w:ind w:firstLine="480" w:firstLineChars="200"/>
        <w:rPr>
          <w:rFonts w:ascii="宋体" w:hAnsi="宋体" w:cs="宋体"/>
          <w:bCs/>
          <w:sz w:val="24"/>
        </w:rPr>
      </w:pPr>
      <w:r>
        <w:rPr>
          <w:rFonts w:ascii="宋体" w:hAnsi="宋体" w:cs="宋体"/>
          <w:bCs/>
          <w:sz w:val="24"/>
        </w:rPr>
        <w:t xml:space="preserve">1.10.2 </w:t>
      </w:r>
      <w:r>
        <w:rPr>
          <w:rFonts w:hint="eastAsia" w:ascii="宋体" w:hAnsi="宋体" w:cs="宋体"/>
          <w:bCs/>
          <w:sz w:val="24"/>
        </w:rPr>
        <w:t>供应商应在竞争性磋商须知前附表第</w:t>
      </w:r>
      <w:r>
        <w:rPr>
          <w:rFonts w:ascii="宋体" w:hAnsi="宋体" w:cs="宋体"/>
          <w:bCs/>
          <w:sz w:val="24"/>
        </w:rPr>
        <w:t>2.2.1项规定的时间前，以书面形式将提出的问题送达采购人，以便采购人在会议期间澄清。</w:t>
      </w:r>
    </w:p>
    <w:p w14:paraId="54047848">
      <w:pPr>
        <w:spacing w:line="360" w:lineRule="auto"/>
        <w:ind w:firstLine="480" w:firstLineChars="200"/>
        <w:rPr>
          <w:rFonts w:ascii="宋体" w:hAnsi="宋体" w:cs="宋体"/>
          <w:bCs/>
          <w:sz w:val="24"/>
        </w:rPr>
      </w:pPr>
      <w:r>
        <w:rPr>
          <w:rFonts w:ascii="宋体" w:hAnsi="宋体" w:cs="宋体"/>
          <w:bCs/>
          <w:sz w:val="24"/>
        </w:rPr>
        <w:t>1.10.3</w:t>
      </w:r>
      <w:r>
        <w:rPr>
          <w:rFonts w:hint="eastAsia" w:ascii="宋体" w:hAnsi="宋体" w:cs="宋体"/>
          <w:bCs/>
          <w:sz w:val="24"/>
        </w:rPr>
        <w:t>预备会后，采购人在竞争性磋商须知前附表第</w:t>
      </w:r>
      <w:r>
        <w:rPr>
          <w:rFonts w:ascii="宋体" w:hAnsi="宋体" w:cs="宋体"/>
          <w:bCs/>
          <w:sz w:val="24"/>
        </w:rPr>
        <w:t>2.2.2项规定的时间内，将对供应商所提问题的澄清，以书面方式通知所有购买采购文件的供应商。该澄清内容为采购文件的组成部分。</w:t>
      </w:r>
    </w:p>
    <w:p w14:paraId="1FC4FC5D">
      <w:pPr>
        <w:pStyle w:val="113"/>
        <w:numPr>
          <w:ilvl w:val="0"/>
          <w:numId w:val="0"/>
        </w:numPr>
        <w:spacing w:line="360" w:lineRule="auto"/>
        <w:outlineLvl w:val="9"/>
        <w:rPr>
          <w:rFonts w:eastAsia="宋体"/>
          <w:b/>
          <w:szCs w:val="24"/>
        </w:rPr>
      </w:pPr>
      <w:r>
        <w:rPr>
          <w:rFonts w:eastAsia="宋体"/>
          <w:b/>
          <w:szCs w:val="24"/>
        </w:rPr>
        <w:t xml:space="preserve">1.11 </w:t>
      </w:r>
      <w:r>
        <w:rPr>
          <w:rFonts w:hint="eastAsia" w:eastAsia="宋体"/>
          <w:b/>
          <w:szCs w:val="24"/>
        </w:rPr>
        <w:t>分包</w:t>
      </w:r>
    </w:p>
    <w:p w14:paraId="4244EB75">
      <w:pPr>
        <w:spacing w:line="360" w:lineRule="auto"/>
        <w:ind w:firstLine="480" w:firstLineChars="200"/>
        <w:rPr>
          <w:bCs/>
        </w:rPr>
      </w:pPr>
      <w:r>
        <w:rPr>
          <w:rFonts w:hint="eastAsia" w:ascii="宋体" w:hAnsi="宋体" w:cs="宋体"/>
          <w:bCs/>
          <w:sz w:val="24"/>
        </w:rPr>
        <w:t>竞争性磋商须知前附表规定应当由分包人实施的非主体、非关键性工作，供应商应当按照发包人要求的规定提供分包人候选名单及其相应资料。</w:t>
      </w:r>
    </w:p>
    <w:p w14:paraId="30DBDDF1">
      <w:pPr>
        <w:spacing w:line="360" w:lineRule="auto"/>
        <w:ind w:firstLine="480" w:firstLineChars="200"/>
        <w:rPr>
          <w:rFonts w:ascii="宋体" w:hAnsi="宋体" w:cs="宋体"/>
          <w:bCs/>
          <w:sz w:val="24"/>
        </w:rPr>
      </w:pPr>
      <w:r>
        <w:rPr>
          <w:rFonts w:hint="eastAsia" w:ascii="宋体" w:hAnsi="宋体" w:cs="宋体"/>
          <w:bCs/>
          <w:sz w:val="24"/>
        </w:rPr>
        <w:t>供应商拟在成交后将成交项目的部分非主体、非关键性工作进行分包的，应符合竞争性磋商须知前附表规定的分包内容、分包金额和接受分包的第三人资质要求等限制性条件。</w:t>
      </w:r>
    </w:p>
    <w:p w14:paraId="44F77E97">
      <w:pPr>
        <w:pStyle w:val="113"/>
        <w:numPr>
          <w:ilvl w:val="0"/>
          <w:numId w:val="0"/>
        </w:numPr>
        <w:spacing w:line="360" w:lineRule="auto"/>
        <w:outlineLvl w:val="9"/>
        <w:rPr>
          <w:rFonts w:eastAsia="宋体"/>
          <w:b/>
          <w:szCs w:val="24"/>
        </w:rPr>
      </w:pPr>
      <w:bookmarkStart w:id="72" w:name="_Toc179632559"/>
      <w:r>
        <w:rPr>
          <w:rFonts w:eastAsia="宋体"/>
          <w:b/>
          <w:szCs w:val="24"/>
        </w:rPr>
        <w:t xml:space="preserve">1.12 </w:t>
      </w:r>
      <w:r>
        <w:rPr>
          <w:rFonts w:hint="eastAsia" w:eastAsia="宋体"/>
          <w:b/>
          <w:szCs w:val="24"/>
        </w:rPr>
        <w:t>偏离</w:t>
      </w:r>
      <w:bookmarkEnd w:id="72"/>
    </w:p>
    <w:p w14:paraId="79E7B2E9">
      <w:pPr>
        <w:spacing w:line="360" w:lineRule="auto"/>
        <w:ind w:firstLine="480" w:firstLineChars="200"/>
        <w:rPr>
          <w:rFonts w:ascii="宋体" w:hAnsi="宋体" w:cs="宋体"/>
          <w:bCs/>
          <w:sz w:val="24"/>
        </w:rPr>
      </w:pPr>
      <w:r>
        <w:rPr>
          <w:rFonts w:hint="eastAsia" w:ascii="宋体" w:hAnsi="宋体" w:cs="宋体"/>
          <w:bCs/>
          <w:sz w:val="24"/>
        </w:rPr>
        <w:t>竞争性磋商须知前附表允许响应文件偏离采购文件某些要求的，偏离应当符合采购文件规定的偏离范围和幅度。</w:t>
      </w:r>
    </w:p>
    <w:p w14:paraId="6CBAA784">
      <w:pPr>
        <w:pStyle w:val="125"/>
        <w:spacing w:before="0" w:line="360" w:lineRule="auto"/>
        <w:outlineLvl w:val="2"/>
        <w:rPr>
          <w:rFonts w:ascii="宋体" w:hAnsi="宋体"/>
          <w:b/>
          <w:sz w:val="24"/>
          <w:szCs w:val="24"/>
        </w:rPr>
      </w:pPr>
      <w:bookmarkStart w:id="73" w:name="_Toc16836"/>
      <w:bookmarkStart w:id="74" w:name="_Toc144974510"/>
      <w:bookmarkStart w:id="75" w:name="_Toc152042318"/>
      <w:bookmarkStart w:id="76" w:name="_Toc152045542"/>
      <w:bookmarkStart w:id="77" w:name="_Toc179632560"/>
      <w:bookmarkStart w:id="78" w:name="_Toc15381"/>
      <w:bookmarkStart w:id="79" w:name="_Toc3468"/>
      <w:r>
        <w:rPr>
          <w:rFonts w:ascii="宋体" w:hAnsi="宋体"/>
          <w:b/>
          <w:sz w:val="24"/>
          <w:szCs w:val="24"/>
        </w:rPr>
        <w:t>2.采购文件</w:t>
      </w:r>
      <w:bookmarkEnd w:id="73"/>
      <w:bookmarkEnd w:id="74"/>
      <w:bookmarkEnd w:id="75"/>
      <w:bookmarkEnd w:id="76"/>
      <w:bookmarkEnd w:id="77"/>
      <w:bookmarkEnd w:id="78"/>
      <w:bookmarkEnd w:id="79"/>
    </w:p>
    <w:p w14:paraId="170171C1">
      <w:pPr>
        <w:pStyle w:val="113"/>
        <w:numPr>
          <w:ilvl w:val="0"/>
          <w:numId w:val="0"/>
        </w:numPr>
        <w:spacing w:line="360" w:lineRule="auto"/>
        <w:outlineLvl w:val="9"/>
        <w:rPr>
          <w:rFonts w:eastAsia="宋体"/>
          <w:b/>
          <w:szCs w:val="24"/>
        </w:rPr>
      </w:pPr>
      <w:bookmarkStart w:id="80" w:name="_Toc179632561"/>
      <w:bookmarkStart w:id="81" w:name="_Toc152045543"/>
      <w:bookmarkStart w:id="82" w:name="_Toc152042319"/>
      <w:bookmarkStart w:id="83" w:name="_Toc144974511"/>
      <w:r>
        <w:rPr>
          <w:rFonts w:eastAsia="宋体"/>
          <w:b/>
          <w:szCs w:val="24"/>
        </w:rPr>
        <w:t xml:space="preserve">2.1 </w:t>
      </w:r>
      <w:r>
        <w:rPr>
          <w:rFonts w:hint="eastAsia" w:eastAsia="宋体"/>
          <w:b/>
          <w:szCs w:val="24"/>
        </w:rPr>
        <w:t>采购文件的组成</w:t>
      </w:r>
      <w:bookmarkEnd w:id="80"/>
      <w:bookmarkEnd w:id="81"/>
      <w:bookmarkEnd w:id="82"/>
      <w:bookmarkEnd w:id="83"/>
    </w:p>
    <w:p w14:paraId="597369A4">
      <w:pPr>
        <w:spacing w:line="360" w:lineRule="auto"/>
        <w:ind w:firstLine="480" w:firstLineChars="200"/>
        <w:rPr>
          <w:rFonts w:ascii="宋体" w:hAnsi="宋体" w:cs="宋体"/>
          <w:bCs/>
          <w:sz w:val="24"/>
        </w:rPr>
      </w:pPr>
      <w:r>
        <w:rPr>
          <w:rFonts w:hint="eastAsia" w:ascii="宋体" w:hAnsi="宋体" w:cs="宋体"/>
          <w:bCs/>
          <w:sz w:val="24"/>
        </w:rPr>
        <w:t>本采购文件包括：</w:t>
      </w:r>
    </w:p>
    <w:p w14:paraId="51AEAA5F">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1）</w:t>
      </w:r>
      <w:r>
        <w:rPr>
          <w:rFonts w:hint="eastAsia" w:ascii="宋体" w:hAnsi="宋体" w:cs="宋体"/>
          <w:bCs/>
          <w:sz w:val="24"/>
        </w:rPr>
        <w:t>竞争性磋商公告</w:t>
      </w:r>
      <w:r>
        <w:rPr>
          <w:rFonts w:ascii="宋体" w:hAnsi="宋体" w:cs="宋体"/>
          <w:bCs/>
          <w:sz w:val="24"/>
        </w:rPr>
        <w:t>；</w:t>
      </w:r>
    </w:p>
    <w:p w14:paraId="444C7CF8">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2）竞争性磋商须知</w:t>
      </w:r>
      <w:r>
        <w:rPr>
          <w:rFonts w:hint="eastAsia" w:ascii="宋体" w:hAnsi="宋体" w:cs="宋体"/>
          <w:bCs/>
          <w:sz w:val="24"/>
        </w:rPr>
        <w:t>；</w:t>
      </w:r>
    </w:p>
    <w:p w14:paraId="17FC02C5">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3）评标办法</w:t>
      </w:r>
      <w:r>
        <w:rPr>
          <w:rFonts w:hint="eastAsia" w:ascii="宋体" w:hAnsi="宋体" w:cs="宋体"/>
          <w:bCs/>
          <w:sz w:val="24"/>
        </w:rPr>
        <w:t>（综合评分法）</w:t>
      </w:r>
      <w:r>
        <w:rPr>
          <w:rFonts w:ascii="宋体" w:hAnsi="宋体" w:cs="宋体"/>
          <w:bCs/>
          <w:sz w:val="24"/>
        </w:rPr>
        <w:t>；</w:t>
      </w:r>
    </w:p>
    <w:p w14:paraId="70368747">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4）项目需求书；</w:t>
      </w:r>
    </w:p>
    <w:p w14:paraId="17128778">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5</w:t>
      </w:r>
      <w:r>
        <w:rPr>
          <w:rFonts w:hint="eastAsia" w:ascii="宋体" w:hAnsi="宋体" w:cs="宋体"/>
          <w:bCs/>
          <w:sz w:val="24"/>
        </w:rPr>
        <w:t>）合同条款及格式；</w:t>
      </w:r>
    </w:p>
    <w:p w14:paraId="32A6817F">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6）响应文件格式。</w:t>
      </w:r>
    </w:p>
    <w:p w14:paraId="37F0AF10">
      <w:pPr>
        <w:spacing w:line="360" w:lineRule="auto"/>
        <w:ind w:firstLine="480" w:firstLineChars="200"/>
        <w:rPr>
          <w:rFonts w:ascii="宋体" w:hAnsi="宋体" w:cs="宋体"/>
          <w:bCs/>
          <w:sz w:val="24"/>
        </w:rPr>
      </w:pPr>
      <w:r>
        <w:rPr>
          <w:rFonts w:hint="eastAsia" w:ascii="宋体" w:hAnsi="宋体" w:cs="宋体"/>
          <w:bCs/>
          <w:sz w:val="24"/>
        </w:rPr>
        <w:t>根据本章第</w:t>
      </w:r>
      <w:r>
        <w:rPr>
          <w:rFonts w:ascii="宋体" w:hAnsi="宋体" w:cs="宋体"/>
          <w:bCs/>
          <w:sz w:val="24"/>
        </w:rPr>
        <w:t>2.2款是对采购文件所作的澄清、修改及答复，构成采购文件的组成部分,采购文件及采购文件的澄清、修改及答疑前后不一致的，以最后时间发出的为准。</w:t>
      </w:r>
    </w:p>
    <w:p w14:paraId="31EF7BED">
      <w:pPr>
        <w:pStyle w:val="113"/>
        <w:numPr>
          <w:ilvl w:val="0"/>
          <w:numId w:val="0"/>
        </w:numPr>
        <w:spacing w:line="360" w:lineRule="auto"/>
        <w:outlineLvl w:val="9"/>
        <w:rPr>
          <w:rFonts w:eastAsia="宋体"/>
          <w:b/>
          <w:szCs w:val="24"/>
        </w:rPr>
      </w:pPr>
      <w:bookmarkStart w:id="84" w:name="_Toc152045544"/>
      <w:bookmarkStart w:id="85" w:name="_Toc144974512"/>
      <w:bookmarkStart w:id="86" w:name="_Toc179632562"/>
      <w:bookmarkStart w:id="87" w:name="_Toc152042320"/>
      <w:r>
        <w:rPr>
          <w:rFonts w:eastAsia="宋体"/>
          <w:b/>
          <w:szCs w:val="24"/>
        </w:rPr>
        <w:t xml:space="preserve">2.2 </w:t>
      </w:r>
      <w:r>
        <w:rPr>
          <w:rFonts w:hint="eastAsia" w:eastAsia="宋体"/>
          <w:b/>
          <w:szCs w:val="24"/>
        </w:rPr>
        <w:t>采购文件的</w:t>
      </w:r>
      <w:bookmarkEnd w:id="84"/>
      <w:bookmarkEnd w:id="85"/>
      <w:bookmarkEnd w:id="86"/>
      <w:bookmarkEnd w:id="87"/>
      <w:r>
        <w:rPr>
          <w:rFonts w:hint="eastAsia" w:eastAsia="宋体"/>
          <w:b/>
          <w:szCs w:val="24"/>
        </w:rPr>
        <w:t>质疑</w:t>
      </w:r>
    </w:p>
    <w:p w14:paraId="2344A8C9">
      <w:pPr>
        <w:spacing w:line="360" w:lineRule="auto"/>
        <w:ind w:firstLine="480" w:firstLineChars="200"/>
        <w:rPr>
          <w:bCs/>
        </w:rPr>
      </w:pPr>
      <w:r>
        <w:rPr>
          <w:rFonts w:ascii="宋体" w:hAnsi="宋体" w:cs="宋体"/>
          <w:bCs/>
          <w:sz w:val="24"/>
        </w:rPr>
        <w:t>2.2.1</w:t>
      </w:r>
      <w:r>
        <w:rPr>
          <w:rFonts w:hint="eastAsia" w:ascii="宋体" w:hAnsi="宋体" w:cs="宋体"/>
          <w:bCs/>
          <w:sz w:val="24"/>
        </w:rPr>
        <w:t>本项目实行网下纸质答疑，凡对采购文件有任何疑问的（包括但不限于认为采购文件的技术指标或参数存在排他性或歧视性条款等），请于供应商在获取采购文件或者采购文件公告期限届满之日起7个工作日内一次性提出针对同一采购程序环节的采购文件提出质疑，根据《中华人民共和国政府采购法》第六章、《中华人民共和国政府采购法实施条例》的有关质疑的指引及要求填写质疑函件，并将质疑函件以及相关质疑内容的证明材料原件送达深圳市深水水务咨询有限公司，逾期不受理。</w:t>
      </w:r>
    </w:p>
    <w:p w14:paraId="6BCA804B">
      <w:pPr>
        <w:pStyle w:val="113"/>
        <w:numPr>
          <w:ilvl w:val="0"/>
          <w:numId w:val="0"/>
        </w:numPr>
        <w:spacing w:line="360" w:lineRule="auto"/>
        <w:outlineLvl w:val="9"/>
        <w:rPr>
          <w:rFonts w:eastAsia="宋体"/>
          <w:b/>
          <w:szCs w:val="24"/>
        </w:rPr>
      </w:pPr>
      <w:r>
        <w:rPr>
          <w:rFonts w:eastAsia="宋体"/>
          <w:b/>
          <w:szCs w:val="24"/>
        </w:rPr>
        <w:t>2.3采购文件的澄清及修改</w:t>
      </w:r>
    </w:p>
    <w:p w14:paraId="343BD892">
      <w:pPr>
        <w:spacing w:line="360" w:lineRule="auto"/>
        <w:ind w:firstLine="480" w:firstLineChars="200"/>
        <w:rPr>
          <w:rFonts w:ascii="宋体" w:hAnsi="宋体" w:cs="宋体"/>
          <w:bCs/>
          <w:sz w:val="24"/>
        </w:rPr>
      </w:pPr>
      <w:r>
        <w:rPr>
          <w:rFonts w:ascii="宋体" w:hAnsi="宋体" w:cs="宋体"/>
          <w:bCs/>
          <w:sz w:val="24"/>
        </w:rPr>
        <w:t>2.3.1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以书面形式通知所有获取磋商文件的供应商</w:t>
      </w:r>
      <w:r>
        <w:rPr>
          <w:rFonts w:hint="eastAsia" w:ascii="宋体" w:hAnsi="宋体" w:cs="宋体"/>
          <w:bCs/>
          <w:sz w:val="24"/>
        </w:rPr>
        <w:t>；</w:t>
      </w:r>
      <w:r>
        <w:rPr>
          <w:rFonts w:ascii="宋体" w:hAnsi="宋体" w:cs="宋体"/>
          <w:bCs/>
          <w:sz w:val="24"/>
        </w:rPr>
        <w:t>不足5日的，采购人、采购代理机构应当顺延提交首次响应文件截止时间</w:t>
      </w:r>
      <w:r>
        <w:rPr>
          <w:rFonts w:hint="eastAsia" w:ascii="宋体" w:hAnsi="宋体" w:cs="宋体"/>
          <w:bCs/>
          <w:sz w:val="24"/>
        </w:rPr>
        <w:t>。</w:t>
      </w:r>
    </w:p>
    <w:p w14:paraId="394DAC37">
      <w:pPr>
        <w:pStyle w:val="113"/>
        <w:numPr>
          <w:ilvl w:val="0"/>
          <w:numId w:val="0"/>
        </w:numPr>
        <w:spacing w:line="360" w:lineRule="auto"/>
        <w:rPr>
          <w:rFonts w:eastAsia="宋体"/>
          <w:b/>
          <w:szCs w:val="24"/>
        </w:rPr>
      </w:pPr>
      <w:bookmarkStart w:id="88" w:name="_Toc8528"/>
      <w:bookmarkStart w:id="89" w:name="_Toc4341"/>
      <w:bookmarkStart w:id="90" w:name="_Toc1717"/>
      <w:r>
        <w:rPr>
          <w:rFonts w:eastAsia="宋体"/>
          <w:b/>
          <w:szCs w:val="24"/>
        </w:rPr>
        <w:t>3.响应文件</w:t>
      </w:r>
      <w:bookmarkEnd w:id="88"/>
      <w:bookmarkEnd w:id="89"/>
      <w:bookmarkEnd w:id="90"/>
    </w:p>
    <w:p w14:paraId="3A4FDC77">
      <w:pPr>
        <w:spacing w:line="360" w:lineRule="auto"/>
        <w:rPr>
          <w:b/>
          <w:bCs/>
        </w:rPr>
      </w:pPr>
      <w:bookmarkStart w:id="91" w:name="_Toc152042323"/>
      <w:bookmarkStart w:id="92" w:name="_Toc179632565"/>
      <w:bookmarkStart w:id="93" w:name="_Toc152045547"/>
      <w:bookmarkStart w:id="94" w:name="_Toc144974515"/>
      <w:r>
        <w:rPr>
          <w:rFonts w:ascii="宋体" w:hAnsi="宋体" w:cs="宋体"/>
          <w:b/>
          <w:bCs/>
          <w:sz w:val="24"/>
        </w:rPr>
        <w:t xml:space="preserve">3.1 </w:t>
      </w:r>
      <w:r>
        <w:rPr>
          <w:rFonts w:hint="eastAsia" w:ascii="宋体" w:hAnsi="宋体" w:cs="宋体"/>
          <w:b/>
          <w:bCs/>
          <w:sz w:val="24"/>
        </w:rPr>
        <w:t>响应文件的组成</w:t>
      </w:r>
      <w:bookmarkEnd w:id="91"/>
      <w:bookmarkEnd w:id="92"/>
      <w:bookmarkEnd w:id="93"/>
      <w:bookmarkEnd w:id="94"/>
    </w:p>
    <w:p w14:paraId="45AF9F5A">
      <w:pPr>
        <w:spacing w:line="360" w:lineRule="auto"/>
        <w:ind w:firstLine="480" w:firstLineChars="200"/>
        <w:rPr>
          <w:rFonts w:ascii="宋体" w:hAnsi="宋体" w:cs="宋体"/>
          <w:bCs/>
          <w:sz w:val="24"/>
        </w:rPr>
      </w:pPr>
      <w:r>
        <w:rPr>
          <w:rFonts w:ascii="宋体" w:hAnsi="宋体" w:cs="宋体"/>
          <w:bCs/>
          <w:sz w:val="24"/>
        </w:rPr>
        <w:t>3.1.1详见竞争性磋商须知前附表</w:t>
      </w:r>
    </w:p>
    <w:p w14:paraId="699FB16A">
      <w:pPr>
        <w:spacing w:line="360" w:lineRule="auto"/>
        <w:ind w:firstLine="480" w:firstLineChars="200"/>
        <w:rPr>
          <w:rFonts w:ascii="宋体" w:hAnsi="宋体" w:cs="宋体"/>
          <w:bCs/>
          <w:sz w:val="24"/>
        </w:rPr>
      </w:pPr>
      <w:r>
        <w:rPr>
          <w:rFonts w:ascii="宋体" w:hAnsi="宋体" w:cs="宋体"/>
          <w:bCs/>
          <w:sz w:val="24"/>
        </w:rPr>
        <w:t>3.1.2竞争性磋商须知前附表规定不接受联合体的或供应商没有组成联合体的，响应文件不包括联合体协议书。</w:t>
      </w:r>
    </w:p>
    <w:p w14:paraId="476F8B8A">
      <w:pPr>
        <w:spacing w:line="360" w:lineRule="auto"/>
        <w:ind w:firstLine="480" w:firstLineChars="200"/>
        <w:rPr>
          <w:rFonts w:ascii="宋体" w:hAnsi="宋体" w:cs="宋体"/>
          <w:bCs/>
          <w:sz w:val="24"/>
        </w:rPr>
      </w:pPr>
      <w:r>
        <w:rPr>
          <w:rFonts w:ascii="宋体" w:hAnsi="宋体" w:cs="宋体"/>
          <w:bCs/>
          <w:sz w:val="24"/>
        </w:rPr>
        <w:t>3.1.3竞争性磋商须知前附表规定不允许分包的或供应商没有分包的，响应文件不包括拟分包项目情况表。</w:t>
      </w:r>
    </w:p>
    <w:p w14:paraId="47DCCE46">
      <w:pPr>
        <w:pStyle w:val="113"/>
        <w:numPr>
          <w:ilvl w:val="0"/>
          <w:numId w:val="0"/>
        </w:numPr>
        <w:spacing w:line="360" w:lineRule="auto"/>
        <w:outlineLvl w:val="9"/>
        <w:rPr>
          <w:rFonts w:eastAsia="宋体"/>
          <w:b/>
          <w:szCs w:val="24"/>
        </w:rPr>
      </w:pPr>
      <w:bookmarkStart w:id="95" w:name="_Toc152042324"/>
      <w:bookmarkStart w:id="96" w:name="_Toc179632566"/>
      <w:bookmarkStart w:id="97" w:name="_Toc152045548"/>
      <w:bookmarkStart w:id="98" w:name="_Toc144974516"/>
      <w:r>
        <w:rPr>
          <w:rFonts w:eastAsia="宋体"/>
          <w:b/>
          <w:szCs w:val="24"/>
        </w:rPr>
        <w:t>3.2</w:t>
      </w:r>
      <w:bookmarkEnd w:id="95"/>
      <w:bookmarkEnd w:id="96"/>
      <w:bookmarkEnd w:id="97"/>
      <w:bookmarkEnd w:id="98"/>
      <w:r>
        <w:rPr>
          <w:rFonts w:hint="eastAsia" w:eastAsia="宋体"/>
          <w:b/>
          <w:szCs w:val="24"/>
        </w:rPr>
        <w:t>响应报价</w:t>
      </w:r>
    </w:p>
    <w:p w14:paraId="14337F97">
      <w:pPr>
        <w:spacing w:line="360" w:lineRule="auto"/>
        <w:ind w:firstLine="480" w:firstLineChars="200"/>
        <w:rPr>
          <w:rFonts w:ascii="宋体" w:hAnsi="宋体" w:cs="宋体"/>
          <w:bCs/>
          <w:sz w:val="24"/>
        </w:rPr>
      </w:pPr>
      <w:r>
        <w:rPr>
          <w:rFonts w:ascii="宋体" w:hAnsi="宋体" w:cs="宋体"/>
          <w:bCs/>
          <w:sz w:val="24"/>
        </w:rPr>
        <w:t xml:space="preserve">3.2.1 </w:t>
      </w:r>
      <w:r>
        <w:rPr>
          <w:rFonts w:hint="eastAsia" w:ascii="宋体" w:hAnsi="宋体" w:cs="宋体"/>
          <w:bCs/>
          <w:sz w:val="24"/>
        </w:rPr>
        <w:t>供应商应按第七章“响应文件格式”的要求填写响应报价。</w:t>
      </w:r>
    </w:p>
    <w:p w14:paraId="64F1439D">
      <w:pPr>
        <w:spacing w:line="360" w:lineRule="auto"/>
        <w:ind w:firstLine="480" w:firstLineChars="200"/>
        <w:rPr>
          <w:rFonts w:ascii="宋体" w:hAnsi="宋体" w:cs="宋体"/>
          <w:bCs/>
          <w:sz w:val="24"/>
        </w:rPr>
      </w:pPr>
      <w:r>
        <w:rPr>
          <w:rFonts w:ascii="宋体" w:hAnsi="宋体" w:cs="宋体"/>
          <w:bCs/>
          <w:sz w:val="24"/>
        </w:rPr>
        <w:t xml:space="preserve">3.2.2 </w:t>
      </w:r>
      <w:r>
        <w:rPr>
          <w:rFonts w:hint="eastAsia" w:ascii="宋体" w:hAnsi="宋体" w:cs="宋体"/>
          <w:bCs/>
          <w:sz w:val="24"/>
        </w:rPr>
        <w:t>供应商应充分了解本项目影响响应报价的其他要素。供应商根据磋商实际情况，结合市场情况进行响应报价。</w:t>
      </w:r>
    </w:p>
    <w:p w14:paraId="69396180">
      <w:pPr>
        <w:spacing w:line="360" w:lineRule="auto"/>
        <w:ind w:firstLine="480" w:firstLineChars="200"/>
        <w:rPr>
          <w:rFonts w:ascii="宋体" w:hAnsi="宋体" w:cs="宋体"/>
          <w:bCs/>
          <w:sz w:val="24"/>
        </w:rPr>
      </w:pPr>
      <w:r>
        <w:rPr>
          <w:rFonts w:ascii="宋体" w:hAnsi="宋体" w:cs="宋体"/>
          <w:bCs/>
          <w:sz w:val="24"/>
        </w:rPr>
        <w:t xml:space="preserve">3.2.3 </w:t>
      </w:r>
      <w:r>
        <w:rPr>
          <w:rFonts w:hint="eastAsia" w:ascii="宋体" w:hAnsi="宋体" w:cs="宋体"/>
          <w:bCs/>
          <w:sz w:val="24"/>
        </w:rPr>
        <w:t>供应商在响应截止时间前修改磋商函中的响应报价总额，应同时修改响应文件“价格清单”中的相应报价，响应报价总额为各分项金额之和。此修改须符合本章第</w:t>
      </w:r>
      <w:r>
        <w:rPr>
          <w:rFonts w:ascii="宋体" w:hAnsi="宋体" w:cs="宋体"/>
          <w:bCs/>
          <w:sz w:val="24"/>
        </w:rPr>
        <w:t>4.3款的有关要求。（本条不采用）</w:t>
      </w:r>
    </w:p>
    <w:p w14:paraId="0940E841">
      <w:pPr>
        <w:spacing w:line="360" w:lineRule="auto"/>
        <w:ind w:firstLine="480" w:firstLineChars="200"/>
        <w:rPr>
          <w:rFonts w:ascii="宋体" w:hAnsi="宋体" w:cs="宋体"/>
          <w:bCs/>
          <w:sz w:val="24"/>
        </w:rPr>
      </w:pPr>
      <w:r>
        <w:rPr>
          <w:rFonts w:ascii="宋体" w:hAnsi="宋体" w:cs="宋体"/>
          <w:bCs/>
          <w:sz w:val="24"/>
        </w:rPr>
        <w:t xml:space="preserve">3.2.4 </w:t>
      </w:r>
      <w:r>
        <w:rPr>
          <w:rFonts w:hint="eastAsia" w:ascii="宋体" w:hAnsi="宋体" w:cs="宋体"/>
          <w:bCs/>
          <w:sz w:val="24"/>
        </w:rPr>
        <w:t>采购人设有最高限价的，供应商的响应报价不得超过最高限价，最高限价或其计算方法在竞争性磋商须知前附表中载明。</w:t>
      </w:r>
    </w:p>
    <w:p w14:paraId="76C11D66">
      <w:pPr>
        <w:spacing w:line="360" w:lineRule="auto"/>
        <w:ind w:firstLine="480" w:firstLineChars="200"/>
        <w:rPr>
          <w:rFonts w:ascii="宋体" w:hAnsi="宋体" w:cs="宋体"/>
          <w:bCs/>
          <w:sz w:val="24"/>
        </w:rPr>
      </w:pPr>
      <w:r>
        <w:rPr>
          <w:rFonts w:ascii="宋体" w:hAnsi="宋体" w:cs="宋体"/>
          <w:bCs/>
          <w:sz w:val="24"/>
        </w:rPr>
        <w:t xml:space="preserve">3.2.5 </w:t>
      </w:r>
      <w:r>
        <w:rPr>
          <w:rFonts w:hint="eastAsia" w:ascii="宋体" w:hAnsi="宋体" w:cs="宋体"/>
          <w:bCs/>
          <w:sz w:val="24"/>
        </w:rPr>
        <w:t>响应报价的其他要求见竞争性磋商须知前附表。</w:t>
      </w:r>
    </w:p>
    <w:p w14:paraId="12D1B7DA">
      <w:pPr>
        <w:pStyle w:val="113"/>
        <w:numPr>
          <w:ilvl w:val="0"/>
          <w:numId w:val="0"/>
        </w:numPr>
        <w:spacing w:line="360" w:lineRule="auto"/>
        <w:outlineLvl w:val="9"/>
        <w:rPr>
          <w:rFonts w:eastAsia="宋体"/>
          <w:b/>
          <w:szCs w:val="24"/>
        </w:rPr>
      </w:pPr>
      <w:r>
        <w:rPr>
          <w:rFonts w:eastAsia="宋体"/>
          <w:b/>
          <w:szCs w:val="24"/>
        </w:rPr>
        <w:t>3.3</w:t>
      </w:r>
      <w:r>
        <w:rPr>
          <w:rFonts w:hint="eastAsia" w:eastAsia="宋体"/>
          <w:b/>
          <w:szCs w:val="24"/>
        </w:rPr>
        <w:t>有效期</w:t>
      </w:r>
    </w:p>
    <w:p w14:paraId="6B9A4799">
      <w:pPr>
        <w:spacing w:line="360" w:lineRule="auto"/>
        <w:ind w:firstLine="480" w:firstLineChars="200"/>
        <w:rPr>
          <w:rFonts w:ascii="宋体" w:hAnsi="宋体" w:cs="宋体"/>
          <w:bCs/>
          <w:sz w:val="24"/>
        </w:rPr>
      </w:pPr>
      <w:r>
        <w:rPr>
          <w:rFonts w:ascii="宋体" w:hAnsi="宋体" w:cs="宋体"/>
          <w:bCs/>
          <w:sz w:val="24"/>
        </w:rPr>
        <w:t xml:space="preserve">3.3.1 </w:t>
      </w:r>
      <w:r>
        <w:rPr>
          <w:rFonts w:hint="eastAsia" w:ascii="宋体" w:hAnsi="宋体" w:cs="宋体"/>
          <w:bCs/>
          <w:sz w:val="24"/>
        </w:rPr>
        <w:t>在竞争性磋商须知前附表规定的有效期内，供应商不得要求撤销或修改其响应文件。</w:t>
      </w:r>
    </w:p>
    <w:p w14:paraId="01C681B7">
      <w:pPr>
        <w:spacing w:line="360" w:lineRule="auto"/>
        <w:ind w:firstLine="480" w:firstLineChars="200"/>
        <w:rPr>
          <w:rFonts w:ascii="宋体" w:hAnsi="宋体" w:cs="宋体"/>
          <w:bCs/>
          <w:sz w:val="24"/>
        </w:rPr>
      </w:pPr>
      <w:r>
        <w:rPr>
          <w:rFonts w:ascii="宋体" w:hAnsi="宋体" w:cs="宋体"/>
          <w:bCs/>
          <w:sz w:val="24"/>
        </w:rPr>
        <w:t>3.3.2出现特殊情况需要延长有效期的，采购人以书面形式通知所有供应商延长有效期。供应商同意延长的，应相应延长其磋商保证金的有效期，但不得要求或被允许修改或撤销其响应文件；供应商拒绝延长的，其失效，但供应商有权收回其磋商保证金。</w:t>
      </w:r>
    </w:p>
    <w:p w14:paraId="0F342D1A">
      <w:pPr>
        <w:pStyle w:val="113"/>
        <w:numPr>
          <w:ilvl w:val="0"/>
          <w:numId w:val="0"/>
        </w:numPr>
        <w:spacing w:line="360" w:lineRule="auto"/>
        <w:outlineLvl w:val="9"/>
        <w:rPr>
          <w:rFonts w:eastAsia="宋体"/>
          <w:b/>
          <w:szCs w:val="24"/>
        </w:rPr>
      </w:pPr>
      <w:bookmarkStart w:id="99" w:name="_Toc144974518"/>
      <w:bookmarkStart w:id="100" w:name="_Toc179632568"/>
      <w:bookmarkStart w:id="101" w:name="_Toc152042326"/>
      <w:bookmarkStart w:id="102" w:name="_Toc152045550"/>
      <w:r>
        <w:rPr>
          <w:rFonts w:eastAsia="宋体"/>
          <w:b/>
          <w:szCs w:val="24"/>
        </w:rPr>
        <w:t xml:space="preserve">3.4 </w:t>
      </w:r>
      <w:r>
        <w:rPr>
          <w:rFonts w:hint="eastAsia" w:eastAsia="宋体"/>
          <w:b/>
          <w:szCs w:val="24"/>
        </w:rPr>
        <w:t>磋商保证金</w:t>
      </w:r>
      <w:bookmarkEnd w:id="99"/>
      <w:bookmarkEnd w:id="100"/>
      <w:bookmarkEnd w:id="101"/>
      <w:bookmarkEnd w:id="102"/>
      <w:r>
        <w:rPr>
          <w:rFonts w:hint="eastAsia"/>
          <w:bCs/>
        </w:rPr>
        <w:t>（本条不采用）</w:t>
      </w:r>
    </w:p>
    <w:p w14:paraId="5C56C3AD">
      <w:pPr>
        <w:spacing w:line="360" w:lineRule="auto"/>
        <w:ind w:firstLine="480" w:firstLineChars="200"/>
        <w:rPr>
          <w:rFonts w:ascii="宋体" w:hAnsi="宋体" w:cs="宋体"/>
          <w:bCs/>
          <w:sz w:val="24"/>
        </w:rPr>
      </w:pPr>
      <w:r>
        <w:rPr>
          <w:rFonts w:ascii="宋体" w:hAnsi="宋体" w:cs="宋体"/>
          <w:bCs/>
          <w:sz w:val="24"/>
        </w:rPr>
        <w:t>3.4.1供应商在递交响应文件的同时，磋商保证金作为其响应文件的组成部分。联合体的，其磋商保证金由牵头人递交，并应符合竞争性磋商须知前附表的规定。</w:t>
      </w:r>
    </w:p>
    <w:p w14:paraId="7CC0AC27">
      <w:pPr>
        <w:spacing w:line="360" w:lineRule="auto"/>
        <w:ind w:firstLine="480" w:firstLineChars="200"/>
        <w:rPr>
          <w:rFonts w:ascii="宋体" w:hAnsi="宋体" w:cs="宋体"/>
          <w:bCs/>
          <w:sz w:val="24"/>
        </w:rPr>
      </w:pPr>
      <w:r>
        <w:rPr>
          <w:rFonts w:ascii="宋体" w:hAnsi="宋体" w:cs="宋体"/>
          <w:bCs/>
          <w:sz w:val="24"/>
        </w:rPr>
        <w:t xml:space="preserve">3.4.2 </w:t>
      </w:r>
      <w:r>
        <w:rPr>
          <w:rFonts w:hint="eastAsia" w:ascii="宋体" w:hAnsi="宋体" w:cs="宋体"/>
          <w:bCs/>
          <w:sz w:val="24"/>
        </w:rPr>
        <w:t>供应商不按本章第</w:t>
      </w:r>
      <w:r>
        <w:rPr>
          <w:rFonts w:ascii="宋体" w:hAnsi="宋体" w:cs="宋体"/>
          <w:bCs/>
          <w:sz w:val="24"/>
        </w:rPr>
        <w:t>3.4.1项要求提交磋商保证金的，将否决其</w:t>
      </w:r>
      <w:r>
        <w:rPr>
          <w:rFonts w:hint="eastAsia" w:ascii="宋体" w:hAnsi="宋体" w:cs="宋体"/>
          <w:bCs/>
          <w:sz w:val="24"/>
        </w:rPr>
        <w:t>响应</w:t>
      </w:r>
      <w:r>
        <w:rPr>
          <w:rFonts w:ascii="宋体" w:hAnsi="宋体" w:cs="宋体"/>
          <w:bCs/>
          <w:sz w:val="24"/>
        </w:rPr>
        <w:t>。</w:t>
      </w:r>
    </w:p>
    <w:p w14:paraId="42781F27">
      <w:pPr>
        <w:spacing w:line="360" w:lineRule="auto"/>
        <w:ind w:firstLine="480" w:firstLineChars="200"/>
        <w:rPr>
          <w:rFonts w:ascii="宋体" w:hAnsi="宋体" w:cs="宋体"/>
          <w:bCs/>
          <w:sz w:val="24"/>
        </w:rPr>
      </w:pPr>
      <w:r>
        <w:rPr>
          <w:rFonts w:ascii="宋体" w:hAnsi="宋体" w:cs="宋体"/>
          <w:bCs/>
          <w:sz w:val="24"/>
        </w:rPr>
        <w:t xml:space="preserve">3.4.3 </w:t>
      </w:r>
      <w:r>
        <w:rPr>
          <w:rFonts w:hint="eastAsia" w:ascii="宋体" w:hAnsi="宋体" w:cs="宋体"/>
          <w:bCs/>
          <w:sz w:val="24"/>
        </w:rPr>
        <w:t>有下列情形之一的，磋商保证金将不予退还：</w:t>
      </w:r>
    </w:p>
    <w:p w14:paraId="72319188">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1）供应商在规定的有效期内撤销或修改其响应文件。</w:t>
      </w:r>
    </w:p>
    <w:p w14:paraId="2B4526E8">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2）成交供应商在收到成交通知书后，无正当理由拒签合同协议书或未按采购文件规定提交履约担保。</w:t>
      </w:r>
    </w:p>
    <w:p w14:paraId="5F5672A9">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3）供应商诚信承诺书承诺的情形。</w:t>
      </w:r>
    </w:p>
    <w:p w14:paraId="58C7FF2D">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4）供应商以投诉为名排挤竞争对手，进行虚假、恶意投诉，阻碍</w:t>
      </w:r>
      <w:r>
        <w:rPr>
          <w:rFonts w:hint="eastAsia" w:ascii="宋体" w:hAnsi="宋体" w:cs="宋体"/>
          <w:bCs/>
          <w:sz w:val="24"/>
        </w:rPr>
        <w:t>磋商</w:t>
      </w:r>
      <w:r>
        <w:rPr>
          <w:rFonts w:ascii="宋体" w:hAnsi="宋体" w:cs="宋体"/>
          <w:bCs/>
          <w:sz w:val="24"/>
        </w:rPr>
        <w:t>活动的正常进行的。</w:t>
      </w:r>
    </w:p>
    <w:p w14:paraId="2CE73454">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5）不按《中华人民共和国招标投标法实施条例》等规定程序进行异议和投诉的。</w:t>
      </w:r>
    </w:p>
    <w:p w14:paraId="2F299CDE">
      <w:pPr>
        <w:pStyle w:val="113"/>
        <w:numPr>
          <w:ilvl w:val="0"/>
          <w:numId w:val="0"/>
        </w:numPr>
        <w:spacing w:line="360" w:lineRule="auto"/>
        <w:outlineLvl w:val="9"/>
        <w:rPr>
          <w:rFonts w:eastAsia="宋体"/>
          <w:b/>
          <w:szCs w:val="24"/>
        </w:rPr>
      </w:pPr>
      <w:r>
        <w:rPr>
          <w:rFonts w:eastAsia="宋体"/>
          <w:b/>
          <w:szCs w:val="24"/>
        </w:rPr>
        <w:t xml:space="preserve">3.5 </w:t>
      </w:r>
      <w:r>
        <w:rPr>
          <w:rFonts w:hint="eastAsia" w:eastAsia="宋体"/>
          <w:b/>
          <w:szCs w:val="24"/>
        </w:rPr>
        <w:t>资格审查资料</w:t>
      </w:r>
    </w:p>
    <w:p w14:paraId="5FC83547">
      <w:pPr>
        <w:spacing w:line="360" w:lineRule="auto"/>
        <w:ind w:firstLine="480" w:firstLineChars="200"/>
        <w:rPr>
          <w:rFonts w:ascii="宋体" w:hAnsi="宋体" w:cs="宋体"/>
          <w:bCs/>
          <w:kern w:val="0"/>
          <w:sz w:val="24"/>
        </w:rPr>
      </w:pPr>
      <w:r>
        <w:rPr>
          <w:rFonts w:ascii="宋体" w:hAnsi="宋体" w:cs="宋体"/>
          <w:bCs/>
          <w:sz w:val="24"/>
        </w:rPr>
        <w:t>3.5.1“供应商基本情况表”供应商</w:t>
      </w:r>
      <w:r>
        <w:rPr>
          <w:rFonts w:hint="eastAsia" w:ascii="宋体" w:hAnsi="宋体" w:cs="宋体"/>
          <w:bCs/>
          <w:kern w:val="0"/>
          <w:sz w:val="24"/>
        </w:rPr>
        <w:t>营业执照副本及供应商资格要求的所有证明文件，证件无须提供原件。</w:t>
      </w:r>
    </w:p>
    <w:p w14:paraId="05C849C0">
      <w:pPr>
        <w:spacing w:line="360" w:lineRule="auto"/>
        <w:ind w:firstLine="480" w:firstLineChars="200"/>
        <w:rPr>
          <w:rFonts w:ascii="宋体" w:hAnsi="宋体" w:cs="宋体"/>
          <w:bCs/>
          <w:sz w:val="24"/>
        </w:rPr>
      </w:pPr>
      <w:r>
        <w:rPr>
          <w:rFonts w:ascii="宋体" w:hAnsi="宋体" w:cs="宋体"/>
          <w:bCs/>
          <w:sz w:val="24"/>
        </w:rPr>
        <w:t xml:space="preserve">3.5.2 </w:t>
      </w:r>
      <w:r>
        <w:rPr>
          <w:rFonts w:hint="eastAsia" w:ascii="宋体" w:hAnsi="宋体" w:cs="宋体"/>
          <w:bCs/>
          <w:sz w:val="24"/>
        </w:rPr>
        <w:t>供应商用于资格审查的所有资料的复印件胶装于响应文件中。</w:t>
      </w:r>
    </w:p>
    <w:p w14:paraId="466F25C5">
      <w:pPr>
        <w:pStyle w:val="113"/>
        <w:numPr>
          <w:ilvl w:val="0"/>
          <w:numId w:val="0"/>
        </w:numPr>
        <w:spacing w:line="360" w:lineRule="auto"/>
        <w:outlineLvl w:val="9"/>
        <w:rPr>
          <w:rFonts w:eastAsia="宋体"/>
          <w:b/>
          <w:szCs w:val="24"/>
        </w:rPr>
      </w:pPr>
      <w:bookmarkStart w:id="103" w:name="_Toc144974521"/>
      <w:bookmarkStart w:id="104" w:name="_Toc152045553"/>
      <w:bookmarkStart w:id="105" w:name="_Toc179632571"/>
      <w:bookmarkStart w:id="106" w:name="_Toc152042329"/>
      <w:r>
        <w:rPr>
          <w:rFonts w:eastAsia="宋体"/>
          <w:b/>
          <w:szCs w:val="24"/>
        </w:rPr>
        <w:t xml:space="preserve">3.6 </w:t>
      </w:r>
      <w:r>
        <w:rPr>
          <w:rFonts w:hint="eastAsia" w:eastAsia="宋体"/>
          <w:b/>
          <w:szCs w:val="24"/>
        </w:rPr>
        <w:t>备选方案</w:t>
      </w:r>
      <w:bookmarkEnd w:id="103"/>
      <w:bookmarkEnd w:id="104"/>
      <w:bookmarkEnd w:id="105"/>
      <w:bookmarkEnd w:id="106"/>
    </w:p>
    <w:p w14:paraId="455358A5">
      <w:pPr>
        <w:spacing w:line="360" w:lineRule="auto"/>
        <w:ind w:firstLine="480" w:firstLineChars="200"/>
        <w:rPr>
          <w:rFonts w:ascii="宋体" w:hAnsi="宋体" w:cs="宋体"/>
          <w:bCs/>
          <w:sz w:val="24"/>
        </w:rPr>
      </w:pPr>
      <w:r>
        <w:rPr>
          <w:rFonts w:hint="eastAsia" w:ascii="宋体" w:hAnsi="宋体" w:cs="宋体"/>
          <w:bCs/>
          <w:sz w:val="24"/>
        </w:rPr>
        <w:t>除竞争性磋商须知前附表另有规定外，供应商不得递交备选方案。允许供应商递交备选方案的，只有成交供应商所递交的备选方案方可予以考虑。磋商小组认为成交供应商的备选方案优于其按照采购文件要求编制的方案的，采购人可以接受该备选方案。</w:t>
      </w:r>
    </w:p>
    <w:p w14:paraId="46B75F50">
      <w:pPr>
        <w:pStyle w:val="113"/>
        <w:numPr>
          <w:ilvl w:val="0"/>
          <w:numId w:val="0"/>
        </w:numPr>
        <w:spacing w:line="360" w:lineRule="auto"/>
        <w:outlineLvl w:val="9"/>
        <w:rPr>
          <w:rFonts w:eastAsia="宋体"/>
          <w:b/>
          <w:szCs w:val="24"/>
        </w:rPr>
      </w:pPr>
      <w:bookmarkStart w:id="107" w:name="_Toc179632572"/>
      <w:bookmarkStart w:id="108" w:name="_Toc144974522"/>
      <w:bookmarkStart w:id="109" w:name="_Toc152045554"/>
      <w:bookmarkStart w:id="110" w:name="_Toc152042330"/>
      <w:r>
        <w:rPr>
          <w:rFonts w:eastAsia="宋体"/>
          <w:b/>
          <w:szCs w:val="24"/>
        </w:rPr>
        <w:t xml:space="preserve">3.7 </w:t>
      </w:r>
      <w:r>
        <w:rPr>
          <w:rFonts w:hint="eastAsia" w:eastAsia="宋体"/>
          <w:b/>
          <w:szCs w:val="24"/>
        </w:rPr>
        <w:t>响应文件的编制</w:t>
      </w:r>
      <w:bookmarkEnd w:id="107"/>
      <w:bookmarkEnd w:id="108"/>
      <w:bookmarkEnd w:id="109"/>
      <w:bookmarkEnd w:id="110"/>
    </w:p>
    <w:p w14:paraId="0BEFFD66">
      <w:pPr>
        <w:spacing w:line="360" w:lineRule="auto"/>
        <w:ind w:firstLine="480" w:firstLineChars="200"/>
        <w:rPr>
          <w:rFonts w:ascii="宋体" w:hAnsi="宋体" w:cs="宋体"/>
          <w:bCs/>
          <w:sz w:val="24"/>
        </w:rPr>
      </w:pPr>
      <w:r>
        <w:rPr>
          <w:rFonts w:ascii="宋体" w:hAnsi="宋体" w:cs="宋体"/>
          <w:bCs/>
          <w:sz w:val="24"/>
        </w:rPr>
        <w:t>3.7.1响应文件应按第八章“响应文件格式”进行编写，如有必要，可以增加附页，作为响应文件的组成部分。</w:t>
      </w:r>
    </w:p>
    <w:p w14:paraId="0EB9E4F9">
      <w:pPr>
        <w:spacing w:line="360" w:lineRule="auto"/>
        <w:ind w:firstLine="480" w:firstLineChars="200"/>
        <w:rPr>
          <w:rFonts w:ascii="宋体" w:hAnsi="宋体" w:cs="宋体"/>
          <w:bCs/>
          <w:sz w:val="24"/>
        </w:rPr>
      </w:pPr>
      <w:r>
        <w:rPr>
          <w:rFonts w:ascii="宋体" w:hAnsi="宋体" w:cs="宋体"/>
          <w:bCs/>
          <w:sz w:val="24"/>
        </w:rPr>
        <w:t xml:space="preserve">3.7.2 </w:t>
      </w:r>
      <w:r>
        <w:rPr>
          <w:rFonts w:hint="eastAsia" w:ascii="宋体" w:hAnsi="宋体" w:cs="宋体"/>
          <w:bCs/>
          <w:sz w:val="24"/>
        </w:rPr>
        <w:t>响应文件应当对采购文件有关工期、有效期、质量要求、技术标准和要求、采购范围等实质性内容作出响应。</w:t>
      </w:r>
    </w:p>
    <w:p w14:paraId="43730A04">
      <w:pPr>
        <w:spacing w:line="360" w:lineRule="auto"/>
        <w:ind w:firstLine="480" w:firstLineChars="200"/>
        <w:rPr>
          <w:rFonts w:ascii="宋体" w:hAnsi="宋体" w:cs="宋体"/>
          <w:bCs/>
          <w:sz w:val="24"/>
        </w:rPr>
      </w:pPr>
      <w:r>
        <w:rPr>
          <w:rFonts w:ascii="宋体" w:hAnsi="宋体" w:cs="宋体"/>
          <w:bCs/>
          <w:sz w:val="24"/>
        </w:rPr>
        <w:t>3.7.3响应文件应用不褪色的材料书写或打印。委托代理人签字的，响应文件应附法定代表人签署的授权委托书。响应文件应尽量避免涂改、行间插字或删除。如果出现上述情况，改动之处应加盖单位章或由供应商的法定代表人或其授权的代理人签字确认。</w:t>
      </w:r>
    </w:p>
    <w:p w14:paraId="05742CEF">
      <w:pPr>
        <w:spacing w:line="360" w:lineRule="auto"/>
        <w:ind w:firstLine="480" w:firstLineChars="200"/>
        <w:rPr>
          <w:rFonts w:ascii="宋体" w:hAnsi="宋体" w:cs="宋体"/>
          <w:bCs/>
          <w:sz w:val="24"/>
        </w:rPr>
      </w:pPr>
      <w:r>
        <w:rPr>
          <w:rFonts w:ascii="宋体" w:hAnsi="宋体" w:cs="宋体"/>
          <w:bCs/>
          <w:sz w:val="24"/>
        </w:rPr>
        <w:t>3.7.4响应文件的内容：详见“第六章响应文件</w:t>
      </w:r>
      <w:r>
        <w:rPr>
          <w:rFonts w:hint="eastAsia" w:ascii="宋体" w:hAnsi="宋体" w:cs="宋体"/>
          <w:bCs/>
          <w:sz w:val="24"/>
        </w:rPr>
        <w:t>格式”</w:t>
      </w:r>
    </w:p>
    <w:p w14:paraId="1070537B">
      <w:pPr>
        <w:spacing w:line="360" w:lineRule="auto"/>
        <w:ind w:firstLine="480" w:firstLineChars="200"/>
        <w:rPr>
          <w:rFonts w:ascii="宋体" w:hAnsi="宋体" w:cs="宋体"/>
          <w:bCs/>
          <w:sz w:val="24"/>
        </w:rPr>
      </w:pPr>
      <w:r>
        <w:rPr>
          <w:rFonts w:ascii="宋体" w:hAnsi="宋体" w:cs="宋体"/>
          <w:bCs/>
          <w:sz w:val="24"/>
        </w:rPr>
        <w:t>3.7.5响应文件电子版要求见竞争性磋商须知前附表</w:t>
      </w:r>
    </w:p>
    <w:p w14:paraId="20866B94">
      <w:pPr>
        <w:spacing w:line="360" w:lineRule="auto"/>
        <w:ind w:firstLine="480" w:firstLineChars="200"/>
        <w:rPr>
          <w:rFonts w:ascii="宋体" w:hAnsi="宋体" w:cs="宋体"/>
          <w:bCs/>
          <w:sz w:val="24"/>
        </w:rPr>
      </w:pPr>
      <w:r>
        <w:rPr>
          <w:rFonts w:ascii="宋体" w:hAnsi="宋体" w:cs="宋体"/>
          <w:bCs/>
          <w:sz w:val="24"/>
        </w:rPr>
        <w:t>3.7.6</w:t>
      </w:r>
      <w:r>
        <w:rPr>
          <w:rFonts w:hint="eastAsia" w:ascii="宋体" w:hAnsi="宋体" w:cs="宋体"/>
          <w:bCs/>
          <w:sz w:val="24"/>
        </w:rPr>
        <w:t>响应文件正本一份</w:t>
      </w:r>
      <w:r>
        <w:rPr>
          <w:rFonts w:ascii="宋体" w:hAnsi="宋体" w:cs="宋体"/>
          <w:bCs/>
          <w:sz w:val="24"/>
        </w:rPr>
        <w:t>,副本数量见竞争性磋商须知前附表。正本和副本</w:t>
      </w:r>
      <w:r>
        <w:rPr>
          <w:rFonts w:hint="eastAsia" w:ascii="宋体" w:hAnsi="宋体" w:cs="宋体"/>
          <w:bCs/>
          <w:sz w:val="24"/>
        </w:rPr>
        <w:t>的封面上应清楚地标记“正本”或“副本”的字样。当副本和正本不一致时，以正本为准。</w:t>
      </w:r>
    </w:p>
    <w:p w14:paraId="19FBBF79">
      <w:pPr>
        <w:spacing w:line="360" w:lineRule="auto"/>
        <w:ind w:firstLine="480" w:firstLineChars="200"/>
        <w:rPr>
          <w:rFonts w:ascii="宋体" w:hAnsi="宋体" w:cs="宋体"/>
          <w:bCs/>
          <w:sz w:val="24"/>
        </w:rPr>
      </w:pPr>
      <w:r>
        <w:rPr>
          <w:rFonts w:ascii="宋体" w:hAnsi="宋体" w:cs="宋体"/>
          <w:bCs/>
          <w:sz w:val="24"/>
        </w:rPr>
        <w:t xml:space="preserve">3.7.7 </w:t>
      </w:r>
      <w:r>
        <w:rPr>
          <w:rFonts w:hint="eastAsia" w:ascii="宋体" w:hAnsi="宋体" w:cs="宋体"/>
          <w:bCs/>
          <w:sz w:val="24"/>
        </w:rPr>
        <w:t>响应文件的正本与副本应分别装订成册，具体装订要求见竞争性磋商须知前附表规定。</w:t>
      </w:r>
    </w:p>
    <w:p w14:paraId="2AD64240">
      <w:pPr>
        <w:spacing w:line="360" w:lineRule="auto"/>
        <w:ind w:firstLine="480" w:firstLineChars="200"/>
        <w:rPr>
          <w:rFonts w:ascii="宋体" w:hAnsi="宋体" w:cs="宋体"/>
          <w:bCs/>
          <w:sz w:val="24"/>
        </w:rPr>
      </w:pPr>
      <w:r>
        <w:rPr>
          <w:rFonts w:ascii="宋体" w:hAnsi="宋体" w:cs="宋体"/>
          <w:bCs/>
          <w:sz w:val="24"/>
        </w:rPr>
        <w:t>3.7.8供应商获得采购文件后，不应修改清单中的内容以及重点评审项目名称和序号。供应商列出的重点评审项目的名称和序号与采购人提供的清单中的名称和序号一致。</w:t>
      </w:r>
    </w:p>
    <w:p w14:paraId="72D5BD84">
      <w:pPr>
        <w:pStyle w:val="125"/>
        <w:spacing w:before="0" w:line="360" w:lineRule="auto"/>
        <w:outlineLvl w:val="2"/>
        <w:rPr>
          <w:rFonts w:ascii="宋体" w:hAnsi="宋体"/>
          <w:b/>
          <w:sz w:val="24"/>
          <w:szCs w:val="24"/>
        </w:rPr>
      </w:pPr>
      <w:bookmarkStart w:id="111" w:name="_Toc144974523"/>
      <w:bookmarkStart w:id="112" w:name="_Toc152042331"/>
      <w:bookmarkStart w:id="113" w:name="_Toc179632573"/>
      <w:bookmarkStart w:id="114" w:name="_Toc12301"/>
      <w:bookmarkStart w:id="115" w:name="_Toc24859"/>
      <w:bookmarkStart w:id="116" w:name="_Toc152045555"/>
      <w:bookmarkStart w:id="117" w:name="_Toc11235"/>
      <w:r>
        <w:rPr>
          <w:rFonts w:ascii="宋体" w:hAnsi="宋体"/>
          <w:b/>
          <w:sz w:val="24"/>
          <w:szCs w:val="24"/>
        </w:rPr>
        <w:t>4.</w:t>
      </w:r>
      <w:bookmarkEnd w:id="111"/>
      <w:bookmarkEnd w:id="112"/>
      <w:bookmarkEnd w:id="113"/>
      <w:bookmarkEnd w:id="114"/>
      <w:bookmarkEnd w:id="115"/>
      <w:bookmarkEnd w:id="116"/>
      <w:r>
        <w:rPr>
          <w:rFonts w:hint="eastAsia" w:ascii="宋体" w:hAnsi="宋体"/>
          <w:b/>
          <w:sz w:val="24"/>
          <w:szCs w:val="24"/>
        </w:rPr>
        <w:t>磋商响应</w:t>
      </w:r>
      <w:bookmarkEnd w:id="117"/>
    </w:p>
    <w:p w14:paraId="7A28A1BF">
      <w:pPr>
        <w:pStyle w:val="113"/>
        <w:numPr>
          <w:ilvl w:val="0"/>
          <w:numId w:val="0"/>
        </w:numPr>
        <w:spacing w:line="360" w:lineRule="auto"/>
        <w:outlineLvl w:val="9"/>
        <w:rPr>
          <w:rFonts w:eastAsia="宋体"/>
          <w:b/>
          <w:szCs w:val="24"/>
        </w:rPr>
      </w:pPr>
      <w:bookmarkStart w:id="118" w:name="_Toc179632574"/>
      <w:bookmarkStart w:id="119" w:name="_Toc152045556"/>
      <w:bookmarkStart w:id="120" w:name="_Toc144974524"/>
      <w:bookmarkStart w:id="121" w:name="_Toc152042332"/>
      <w:r>
        <w:rPr>
          <w:rFonts w:eastAsia="宋体"/>
          <w:b/>
          <w:szCs w:val="24"/>
        </w:rPr>
        <w:t xml:space="preserve">4.1 </w:t>
      </w:r>
      <w:r>
        <w:rPr>
          <w:rFonts w:hint="eastAsia" w:eastAsia="宋体"/>
          <w:b/>
          <w:szCs w:val="24"/>
        </w:rPr>
        <w:t>响应文件的密封和标记</w:t>
      </w:r>
      <w:bookmarkEnd w:id="118"/>
      <w:bookmarkEnd w:id="119"/>
      <w:bookmarkEnd w:id="120"/>
      <w:bookmarkEnd w:id="121"/>
    </w:p>
    <w:p w14:paraId="0548CB57">
      <w:pPr>
        <w:spacing w:line="360" w:lineRule="auto"/>
        <w:ind w:firstLine="480" w:firstLineChars="200"/>
        <w:rPr>
          <w:rFonts w:ascii="宋体" w:hAnsi="宋体" w:cs="宋体"/>
          <w:bCs/>
          <w:sz w:val="24"/>
        </w:rPr>
      </w:pPr>
      <w:r>
        <w:rPr>
          <w:rFonts w:ascii="宋体" w:hAnsi="宋体" w:cs="宋体"/>
          <w:bCs/>
          <w:sz w:val="24"/>
        </w:rPr>
        <w:t>4.1.1响应文胶装及密封要求详见竞争性磋商须知前附表。</w:t>
      </w:r>
    </w:p>
    <w:p w14:paraId="41F1ADA8">
      <w:pPr>
        <w:spacing w:line="360" w:lineRule="auto"/>
        <w:ind w:firstLine="480" w:firstLineChars="200"/>
        <w:rPr>
          <w:rFonts w:ascii="宋体" w:hAnsi="宋体" w:cs="宋体"/>
          <w:bCs/>
          <w:sz w:val="24"/>
        </w:rPr>
      </w:pPr>
      <w:r>
        <w:rPr>
          <w:rFonts w:ascii="宋体" w:hAnsi="宋体" w:cs="宋体"/>
          <w:bCs/>
          <w:sz w:val="24"/>
        </w:rPr>
        <w:t xml:space="preserve">4.1.2 </w:t>
      </w:r>
      <w:r>
        <w:rPr>
          <w:rFonts w:hint="eastAsia" w:ascii="宋体" w:hAnsi="宋体" w:cs="宋体"/>
          <w:bCs/>
          <w:sz w:val="24"/>
        </w:rPr>
        <w:t>响应文件的封套上应写明的其他内容见竞争性磋商须知前附表。</w:t>
      </w:r>
    </w:p>
    <w:p w14:paraId="05E8F630">
      <w:pPr>
        <w:spacing w:line="360" w:lineRule="auto"/>
        <w:ind w:firstLine="480" w:firstLineChars="200"/>
        <w:rPr>
          <w:rFonts w:ascii="宋体" w:hAnsi="宋体" w:cs="宋体"/>
          <w:bCs/>
          <w:sz w:val="24"/>
        </w:rPr>
      </w:pPr>
      <w:r>
        <w:rPr>
          <w:rFonts w:ascii="宋体" w:hAnsi="宋体" w:cs="宋体"/>
          <w:bCs/>
          <w:sz w:val="24"/>
        </w:rPr>
        <w:t xml:space="preserve">4.1.3 </w:t>
      </w:r>
      <w:r>
        <w:rPr>
          <w:rFonts w:hint="eastAsia" w:ascii="宋体" w:hAnsi="宋体" w:cs="宋体"/>
          <w:bCs/>
          <w:sz w:val="24"/>
        </w:rPr>
        <w:t>未按本章第</w:t>
      </w:r>
      <w:r>
        <w:rPr>
          <w:rFonts w:ascii="宋体" w:hAnsi="宋体" w:cs="宋体"/>
          <w:bCs/>
          <w:sz w:val="24"/>
        </w:rPr>
        <w:t>4.1.1项或第4.1.2项要求密封和加写标记的响应文件，采购人应予拒收。</w:t>
      </w:r>
    </w:p>
    <w:p w14:paraId="38E2D6DC">
      <w:pPr>
        <w:pStyle w:val="113"/>
        <w:numPr>
          <w:ilvl w:val="0"/>
          <w:numId w:val="0"/>
        </w:numPr>
        <w:spacing w:line="360" w:lineRule="auto"/>
        <w:outlineLvl w:val="9"/>
        <w:rPr>
          <w:rFonts w:eastAsia="宋体"/>
          <w:b/>
          <w:szCs w:val="24"/>
        </w:rPr>
      </w:pPr>
      <w:bookmarkStart w:id="122" w:name="_Toc144974525"/>
      <w:bookmarkStart w:id="123" w:name="_Toc179632575"/>
      <w:bookmarkStart w:id="124" w:name="_Toc152045557"/>
      <w:bookmarkStart w:id="125" w:name="_Toc152042333"/>
      <w:r>
        <w:rPr>
          <w:rFonts w:eastAsia="宋体"/>
          <w:b/>
          <w:szCs w:val="24"/>
        </w:rPr>
        <w:t xml:space="preserve">4.2 </w:t>
      </w:r>
      <w:r>
        <w:rPr>
          <w:rFonts w:hint="eastAsia" w:eastAsia="宋体"/>
          <w:b/>
          <w:szCs w:val="24"/>
        </w:rPr>
        <w:t>响应文件的递交</w:t>
      </w:r>
      <w:bookmarkEnd w:id="122"/>
      <w:bookmarkEnd w:id="123"/>
      <w:bookmarkEnd w:id="124"/>
      <w:bookmarkEnd w:id="125"/>
    </w:p>
    <w:p w14:paraId="6E455636">
      <w:pPr>
        <w:spacing w:line="360" w:lineRule="auto"/>
        <w:ind w:firstLine="480" w:firstLineChars="200"/>
        <w:rPr>
          <w:rFonts w:ascii="宋体" w:hAnsi="宋体" w:cs="宋体"/>
          <w:bCs/>
          <w:sz w:val="24"/>
        </w:rPr>
      </w:pPr>
      <w:r>
        <w:rPr>
          <w:rFonts w:ascii="宋体" w:hAnsi="宋体" w:cs="宋体"/>
          <w:bCs/>
          <w:sz w:val="24"/>
        </w:rPr>
        <w:t>4.2.1供应商递交响应文件截止时间：见竞争性磋商须知前附表。</w:t>
      </w:r>
    </w:p>
    <w:p w14:paraId="1B3A6FD3">
      <w:pPr>
        <w:spacing w:line="360" w:lineRule="auto"/>
        <w:ind w:firstLine="480" w:firstLineChars="200"/>
        <w:rPr>
          <w:rFonts w:ascii="宋体" w:hAnsi="宋体" w:cs="宋体"/>
          <w:bCs/>
          <w:sz w:val="24"/>
        </w:rPr>
      </w:pPr>
      <w:r>
        <w:rPr>
          <w:rFonts w:ascii="宋体" w:hAnsi="宋体" w:cs="宋体"/>
          <w:bCs/>
          <w:sz w:val="24"/>
        </w:rPr>
        <w:t xml:space="preserve">4.2.2 </w:t>
      </w:r>
      <w:r>
        <w:rPr>
          <w:rFonts w:hint="eastAsia" w:ascii="宋体" w:hAnsi="宋体" w:cs="宋体"/>
          <w:bCs/>
          <w:sz w:val="24"/>
        </w:rPr>
        <w:t>供应商递交响应文件的地点：见竞争性磋商须知前附表。</w:t>
      </w:r>
    </w:p>
    <w:p w14:paraId="435E1B04">
      <w:pPr>
        <w:spacing w:line="360" w:lineRule="auto"/>
        <w:ind w:firstLine="480" w:firstLineChars="200"/>
        <w:rPr>
          <w:rFonts w:ascii="宋体" w:hAnsi="宋体" w:cs="宋体"/>
          <w:bCs/>
          <w:sz w:val="24"/>
        </w:rPr>
      </w:pPr>
      <w:r>
        <w:rPr>
          <w:rFonts w:ascii="宋体" w:hAnsi="宋体" w:cs="宋体"/>
          <w:bCs/>
          <w:sz w:val="24"/>
        </w:rPr>
        <w:t xml:space="preserve">4.2.3 </w:t>
      </w:r>
      <w:r>
        <w:rPr>
          <w:rFonts w:hint="eastAsia" w:ascii="宋体" w:hAnsi="宋体" w:cs="宋体"/>
          <w:bCs/>
          <w:sz w:val="24"/>
        </w:rPr>
        <w:t>除竞争性磋商须知前附表另有规定外，供应商所递交的响应文件不予退还。</w:t>
      </w:r>
    </w:p>
    <w:p w14:paraId="4E341ADF">
      <w:pPr>
        <w:spacing w:line="360" w:lineRule="auto"/>
        <w:ind w:firstLine="480" w:firstLineChars="200"/>
        <w:rPr>
          <w:rFonts w:ascii="宋体" w:hAnsi="宋体" w:cs="宋体"/>
          <w:bCs/>
          <w:sz w:val="24"/>
        </w:rPr>
      </w:pPr>
      <w:r>
        <w:rPr>
          <w:rFonts w:ascii="宋体" w:hAnsi="宋体" w:cs="宋体"/>
          <w:bCs/>
          <w:sz w:val="24"/>
        </w:rPr>
        <w:t>4.2.4供应商递交响应文件时，由其法定代表人或其委托代理人在响应文件递交确认书上签字确认。</w:t>
      </w:r>
    </w:p>
    <w:p w14:paraId="227BABE4">
      <w:pPr>
        <w:spacing w:line="360" w:lineRule="auto"/>
        <w:ind w:firstLine="480" w:firstLineChars="200"/>
        <w:rPr>
          <w:rFonts w:ascii="宋体" w:hAnsi="宋体" w:cs="宋体"/>
          <w:bCs/>
          <w:sz w:val="24"/>
        </w:rPr>
      </w:pPr>
      <w:r>
        <w:rPr>
          <w:rFonts w:ascii="宋体" w:hAnsi="宋体" w:cs="宋体"/>
          <w:bCs/>
          <w:sz w:val="24"/>
        </w:rPr>
        <w:t xml:space="preserve">4.2.5 </w:t>
      </w:r>
      <w:r>
        <w:rPr>
          <w:rFonts w:hint="eastAsia" w:ascii="宋体" w:hAnsi="宋体" w:cs="宋体"/>
          <w:bCs/>
          <w:sz w:val="24"/>
        </w:rPr>
        <w:t>逾期送达的或者未送达指定地点的、不按采购文件要求密封的响应文件，采购人不予受理。</w:t>
      </w:r>
    </w:p>
    <w:p w14:paraId="68E49ACC">
      <w:pPr>
        <w:pStyle w:val="113"/>
        <w:numPr>
          <w:ilvl w:val="0"/>
          <w:numId w:val="0"/>
        </w:numPr>
        <w:spacing w:line="360" w:lineRule="auto"/>
        <w:outlineLvl w:val="9"/>
        <w:rPr>
          <w:rFonts w:eastAsia="宋体"/>
          <w:b/>
          <w:szCs w:val="24"/>
        </w:rPr>
      </w:pPr>
      <w:bookmarkStart w:id="126" w:name="_Toc152042334"/>
      <w:bookmarkStart w:id="127" w:name="_Toc144974526"/>
      <w:bookmarkStart w:id="128" w:name="_Toc179632576"/>
      <w:bookmarkStart w:id="129" w:name="_Toc152045558"/>
      <w:r>
        <w:rPr>
          <w:rFonts w:eastAsia="宋体"/>
          <w:b/>
          <w:szCs w:val="24"/>
        </w:rPr>
        <w:t xml:space="preserve">4.3 </w:t>
      </w:r>
      <w:r>
        <w:rPr>
          <w:rFonts w:hint="eastAsia" w:eastAsia="宋体"/>
          <w:b/>
          <w:szCs w:val="24"/>
        </w:rPr>
        <w:t>响应文件的修改与撤回</w:t>
      </w:r>
      <w:bookmarkEnd w:id="126"/>
      <w:bookmarkEnd w:id="127"/>
      <w:bookmarkEnd w:id="128"/>
      <w:bookmarkEnd w:id="129"/>
    </w:p>
    <w:p w14:paraId="193C7F51">
      <w:pPr>
        <w:spacing w:line="360" w:lineRule="auto"/>
        <w:ind w:firstLine="480" w:firstLineChars="200"/>
        <w:rPr>
          <w:rFonts w:ascii="宋体" w:hAnsi="宋体" w:cs="宋体"/>
          <w:bCs/>
          <w:sz w:val="24"/>
        </w:rPr>
      </w:pPr>
      <w:r>
        <w:rPr>
          <w:rFonts w:ascii="宋体" w:hAnsi="宋体" w:cs="宋体"/>
          <w:bCs/>
          <w:sz w:val="24"/>
        </w:rPr>
        <w:t xml:space="preserve">4.3.1 </w:t>
      </w:r>
      <w:r>
        <w:rPr>
          <w:rFonts w:hint="eastAsia" w:ascii="宋体" w:hAnsi="宋体" w:cs="宋体"/>
          <w:bCs/>
          <w:sz w:val="24"/>
        </w:rPr>
        <w:t>在本章第</w:t>
      </w:r>
      <w:r>
        <w:rPr>
          <w:rFonts w:ascii="宋体" w:hAnsi="宋体" w:cs="宋体"/>
          <w:bCs/>
          <w:sz w:val="24"/>
        </w:rPr>
        <w:t>4.2.1项规定的响应截止时间前，供应商可以修改或撤回已递交的响应文件，但应以书面形式通知采购人。</w:t>
      </w:r>
    </w:p>
    <w:p w14:paraId="74B0882F">
      <w:pPr>
        <w:spacing w:line="360" w:lineRule="auto"/>
        <w:ind w:firstLine="480" w:firstLineChars="200"/>
        <w:rPr>
          <w:rFonts w:ascii="宋体" w:hAnsi="宋体" w:cs="宋体"/>
          <w:bCs/>
          <w:sz w:val="24"/>
        </w:rPr>
      </w:pPr>
      <w:r>
        <w:rPr>
          <w:rFonts w:ascii="宋体" w:hAnsi="宋体" w:cs="宋体"/>
          <w:bCs/>
          <w:sz w:val="24"/>
        </w:rPr>
        <w:t xml:space="preserve">4.3.2 </w:t>
      </w:r>
      <w:r>
        <w:rPr>
          <w:rFonts w:hint="eastAsia" w:ascii="宋体" w:hAnsi="宋体" w:cs="宋体"/>
          <w:bCs/>
          <w:sz w:val="24"/>
        </w:rPr>
        <w:t>供应商修改或撤回已递交响应文件的书面通知应按照本章第</w:t>
      </w:r>
      <w:r>
        <w:rPr>
          <w:rFonts w:ascii="宋体" w:hAnsi="宋体" w:cs="宋体"/>
          <w:bCs/>
          <w:sz w:val="24"/>
        </w:rPr>
        <w:t>3.7.3项的要求签字或盖章。由其法定代表人或其委托代理人在响应文件递交确认书上签字确认。</w:t>
      </w:r>
    </w:p>
    <w:p w14:paraId="78290969">
      <w:pPr>
        <w:spacing w:line="360" w:lineRule="auto"/>
        <w:ind w:firstLine="480" w:firstLineChars="200"/>
        <w:rPr>
          <w:rFonts w:ascii="宋体" w:hAnsi="宋体" w:cs="宋体"/>
          <w:bCs/>
          <w:sz w:val="24"/>
        </w:rPr>
      </w:pPr>
      <w:r>
        <w:rPr>
          <w:rFonts w:ascii="宋体" w:hAnsi="宋体" w:cs="宋体"/>
          <w:bCs/>
          <w:sz w:val="24"/>
        </w:rPr>
        <w:t xml:space="preserve">4.3.3 </w:t>
      </w:r>
      <w:r>
        <w:rPr>
          <w:rFonts w:hint="eastAsia" w:ascii="宋体" w:hAnsi="宋体" w:cs="宋体"/>
          <w:bCs/>
          <w:sz w:val="24"/>
        </w:rPr>
        <w:t>修改的内容为响应文件的组成部分。修改的响应文件应按照本章第</w:t>
      </w:r>
      <w:r>
        <w:rPr>
          <w:rFonts w:ascii="宋体" w:hAnsi="宋体" w:cs="宋体"/>
          <w:bCs/>
          <w:sz w:val="24"/>
        </w:rPr>
        <w:t>3</w:t>
      </w:r>
      <w:r>
        <w:rPr>
          <w:rFonts w:hint="eastAsia" w:ascii="宋体" w:hAnsi="宋体" w:cs="宋体"/>
          <w:bCs/>
          <w:sz w:val="24"/>
        </w:rPr>
        <w:t>条、第</w:t>
      </w:r>
      <w:r>
        <w:rPr>
          <w:rFonts w:ascii="宋体" w:hAnsi="宋体" w:cs="宋体"/>
          <w:bCs/>
          <w:sz w:val="24"/>
        </w:rPr>
        <w:t>4条规定进行编制、密封、标记和递交，并标明“修改”字样。</w:t>
      </w:r>
    </w:p>
    <w:p w14:paraId="5C7A9FA0">
      <w:pPr>
        <w:pStyle w:val="125"/>
        <w:spacing w:before="0" w:line="360" w:lineRule="auto"/>
        <w:outlineLvl w:val="2"/>
        <w:rPr>
          <w:rFonts w:ascii="宋体" w:hAnsi="宋体"/>
          <w:b/>
          <w:sz w:val="24"/>
          <w:szCs w:val="24"/>
        </w:rPr>
      </w:pPr>
      <w:bookmarkStart w:id="130" w:name="_Toc144974527"/>
      <w:bookmarkStart w:id="131" w:name="_Toc2854"/>
      <w:bookmarkStart w:id="132" w:name="_Toc5579"/>
      <w:bookmarkStart w:id="133" w:name="_Toc152045559"/>
      <w:bookmarkStart w:id="134" w:name="_Toc179632577"/>
      <w:bookmarkStart w:id="135" w:name="_Toc152042335"/>
      <w:bookmarkStart w:id="136" w:name="_Toc13961"/>
      <w:r>
        <w:rPr>
          <w:rFonts w:ascii="宋体" w:hAnsi="宋体"/>
          <w:b/>
          <w:sz w:val="24"/>
          <w:szCs w:val="24"/>
        </w:rPr>
        <w:t>5.</w:t>
      </w:r>
      <w:bookmarkEnd w:id="130"/>
      <w:bookmarkEnd w:id="131"/>
      <w:bookmarkEnd w:id="132"/>
      <w:bookmarkEnd w:id="133"/>
      <w:bookmarkEnd w:id="134"/>
      <w:bookmarkEnd w:id="135"/>
      <w:r>
        <w:rPr>
          <w:rFonts w:hint="eastAsia" w:ascii="宋体" w:hAnsi="宋体"/>
          <w:b/>
          <w:sz w:val="24"/>
          <w:szCs w:val="24"/>
        </w:rPr>
        <w:t>记录响应报价（本项目无需开标）</w:t>
      </w:r>
      <w:bookmarkEnd w:id="136"/>
    </w:p>
    <w:p w14:paraId="7A4B48FC">
      <w:pPr>
        <w:pStyle w:val="113"/>
        <w:numPr>
          <w:ilvl w:val="0"/>
          <w:numId w:val="0"/>
        </w:numPr>
        <w:spacing w:line="360" w:lineRule="auto"/>
        <w:outlineLvl w:val="9"/>
        <w:rPr>
          <w:rFonts w:eastAsia="宋体"/>
          <w:b/>
          <w:szCs w:val="24"/>
        </w:rPr>
      </w:pPr>
      <w:bookmarkStart w:id="137" w:name="_Toc179632578"/>
      <w:bookmarkStart w:id="138" w:name="_Toc152045560"/>
      <w:bookmarkStart w:id="139" w:name="_Toc144974528"/>
      <w:bookmarkStart w:id="140" w:name="_Toc152042336"/>
      <w:r>
        <w:rPr>
          <w:rFonts w:eastAsia="宋体"/>
          <w:b/>
          <w:szCs w:val="24"/>
        </w:rPr>
        <w:t xml:space="preserve">5.1 </w:t>
      </w:r>
      <w:bookmarkEnd w:id="137"/>
      <w:bookmarkEnd w:id="138"/>
      <w:bookmarkEnd w:id="139"/>
      <w:bookmarkEnd w:id="140"/>
      <w:r>
        <w:rPr>
          <w:rFonts w:hint="eastAsia" w:eastAsia="宋体"/>
          <w:b/>
          <w:szCs w:val="24"/>
        </w:rPr>
        <w:t>原则</w:t>
      </w:r>
    </w:p>
    <w:p w14:paraId="6A1646FA">
      <w:pPr>
        <w:spacing w:line="360" w:lineRule="auto"/>
        <w:ind w:firstLine="480" w:firstLineChars="200"/>
        <w:rPr>
          <w:rFonts w:ascii="宋体" w:hAnsi="宋体" w:cs="宋体"/>
          <w:bCs/>
          <w:sz w:val="24"/>
        </w:rPr>
      </w:pPr>
      <w:r>
        <w:rPr>
          <w:rFonts w:hint="eastAsia" w:ascii="宋体" w:hAnsi="宋体" w:cs="宋体"/>
          <w:bCs/>
          <w:sz w:val="24"/>
        </w:rPr>
        <w:t>代理机构工作人员在竞争性磋商须知前附表规定的时间和地点记录供应商的响应报价但不组织开标（唱标）程序，供应商相关授权人员不参与现场响应报价的记录环节。</w:t>
      </w:r>
    </w:p>
    <w:p w14:paraId="3A634D9C">
      <w:pPr>
        <w:pStyle w:val="113"/>
        <w:numPr>
          <w:ilvl w:val="0"/>
          <w:numId w:val="0"/>
        </w:numPr>
        <w:spacing w:line="360" w:lineRule="auto"/>
        <w:outlineLvl w:val="9"/>
        <w:rPr>
          <w:rFonts w:eastAsia="宋体"/>
          <w:b/>
          <w:szCs w:val="24"/>
        </w:rPr>
      </w:pPr>
      <w:bookmarkStart w:id="141" w:name="_Toc179632579"/>
      <w:bookmarkStart w:id="142" w:name="_Toc152045561"/>
      <w:bookmarkStart w:id="143" w:name="_Toc144974529"/>
      <w:bookmarkStart w:id="144" w:name="_Toc152042337"/>
      <w:r>
        <w:rPr>
          <w:rFonts w:eastAsia="宋体"/>
          <w:b/>
          <w:szCs w:val="24"/>
        </w:rPr>
        <w:t>5.2程序</w:t>
      </w:r>
      <w:bookmarkEnd w:id="141"/>
      <w:bookmarkEnd w:id="142"/>
      <w:bookmarkEnd w:id="143"/>
      <w:bookmarkEnd w:id="144"/>
    </w:p>
    <w:p w14:paraId="6E0399EF">
      <w:pPr>
        <w:spacing w:line="360" w:lineRule="auto"/>
        <w:ind w:firstLine="482" w:firstLineChars="200"/>
        <w:rPr>
          <w:rFonts w:ascii="宋体" w:hAnsi="宋体" w:cs="宋体"/>
          <w:b/>
          <w:sz w:val="24"/>
        </w:rPr>
      </w:pPr>
      <w:r>
        <w:rPr>
          <w:rFonts w:ascii="宋体" w:hAnsi="宋体" w:cs="宋体"/>
          <w:b/>
          <w:sz w:val="24"/>
        </w:rPr>
        <w:t>5.2.1主持人按下列程序进行：</w:t>
      </w:r>
    </w:p>
    <w:p w14:paraId="4B46F1D5">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1）宣布纪律；</w:t>
      </w:r>
    </w:p>
    <w:p w14:paraId="4371D9EB">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2）公布在响应截止时间前递交响应文件的供应商名称；</w:t>
      </w:r>
    </w:p>
    <w:p w14:paraId="6BBF146E">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3）宣布记录人等有关人员姓名；</w:t>
      </w:r>
    </w:p>
    <w:p w14:paraId="0C5512DF">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4）按照竞争性磋商须知前附表规定检查响应文件的密封情况；</w:t>
      </w:r>
    </w:p>
    <w:p w14:paraId="2F2A39E3">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5）按响应文件递交顺序开启开标一览表，由记录人记录供应商名称、</w:t>
      </w:r>
      <w:r>
        <w:rPr>
          <w:rFonts w:hint="eastAsia" w:ascii="宋体" w:hAnsi="宋体" w:cs="宋体"/>
          <w:bCs/>
          <w:sz w:val="24"/>
        </w:rPr>
        <w:t>响应报价</w:t>
      </w:r>
      <w:r>
        <w:rPr>
          <w:rFonts w:ascii="宋体" w:hAnsi="宋体" w:cs="宋体"/>
          <w:bCs/>
          <w:sz w:val="24"/>
        </w:rPr>
        <w:t>、</w:t>
      </w:r>
      <w:r>
        <w:rPr>
          <w:rFonts w:hint="eastAsia" w:ascii="宋体" w:hAnsi="宋体" w:cs="宋体"/>
          <w:bCs/>
          <w:sz w:val="24"/>
        </w:rPr>
        <w:t>工期及其他内容；</w:t>
      </w:r>
    </w:p>
    <w:p w14:paraId="1BF1A182">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6）记录人等有关人员在一览表记录上签字确认；</w:t>
      </w:r>
    </w:p>
    <w:p w14:paraId="4151348C">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7</w:t>
      </w:r>
      <w:r>
        <w:rPr>
          <w:rFonts w:hint="eastAsia" w:ascii="宋体" w:hAnsi="宋体" w:cs="宋体"/>
          <w:bCs/>
          <w:sz w:val="24"/>
        </w:rPr>
        <w:t>）现场记录结束。</w:t>
      </w:r>
    </w:p>
    <w:p w14:paraId="4183F0E4">
      <w:pPr>
        <w:pStyle w:val="30"/>
        <w:spacing w:line="360" w:lineRule="auto"/>
        <w:ind w:firstLine="482" w:firstLineChars="200"/>
        <w:rPr>
          <w:rFonts w:ascii="宋体" w:hAnsi="宋体" w:cs="宋体"/>
          <w:b/>
          <w:sz w:val="24"/>
          <w:szCs w:val="24"/>
        </w:rPr>
      </w:pPr>
      <w:r>
        <w:rPr>
          <w:rFonts w:hint="eastAsia" w:ascii="宋体" w:hAnsi="宋体" w:cs="宋体"/>
          <w:b/>
          <w:sz w:val="24"/>
          <w:szCs w:val="24"/>
        </w:rPr>
        <w:t>5.2.2报价要求：</w:t>
      </w:r>
    </w:p>
    <w:p w14:paraId="705E5654">
      <w:pPr>
        <w:spacing w:line="360" w:lineRule="auto"/>
        <w:ind w:firstLine="480" w:firstLineChars="200"/>
        <w:rPr>
          <w:rFonts w:ascii="宋体" w:hAnsi="宋体" w:cs="宋体"/>
          <w:bCs/>
          <w:sz w:val="24"/>
        </w:rPr>
      </w:pPr>
      <w:r>
        <w:rPr>
          <w:rFonts w:hint="eastAsia" w:ascii="宋体" w:hAnsi="宋体" w:cs="宋体"/>
          <w:bCs/>
          <w:sz w:val="24"/>
        </w:rPr>
        <w:t>（1）本工程的工程量清单的磋商单价按综合单价方式进行报价。</w:t>
      </w:r>
    </w:p>
    <w:p w14:paraId="2E42F349">
      <w:pPr>
        <w:spacing w:line="360" w:lineRule="auto"/>
        <w:ind w:firstLine="480" w:firstLineChars="200"/>
        <w:rPr>
          <w:rFonts w:ascii="宋体" w:hAnsi="宋体" w:cs="宋体"/>
          <w:bCs/>
          <w:sz w:val="24"/>
        </w:rPr>
      </w:pPr>
      <w:r>
        <w:rPr>
          <w:rFonts w:hint="eastAsia" w:ascii="宋体" w:hAnsi="宋体" w:cs="宋体"/>
          <w:bCs/>
          <w:sz w:val="24"/>
        </w:rPr>
        <w:t>（2）供应商应根据本企业的成本自行决定报价，但不得以低于其企业成本的报价；评标时，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响应处理。</w:t>
      </w:r>
    </w:p>
    <w:p w14:paraId="47941F0E">
      <w:pPr>
        <w:spacing w:line="360" w:lineRule="auto"/>
        <w:ind w:firstLine="480" w:firstLineChars="200"/>
        <w:rPr>
          <w:rFonts w:ascii="宋体" w:hAnsi="宋体" w:cs="宋体"/>
          <w:bCs/>
          <w:sz w:val="24"/>
        </w:rPr>
      </w:pPr>
      <w:r>
        <w:rPr>
          <w:rFonts w:hint="eastAsia" w:ascii="宋体" w:hAnsi="宋体" w:cs="宋体"/>
          <w:bCs/>
          <w:sz w:val="24"/>
        </w:rPr>
        <w:t>（3）供应商的响应报价，应是本项目采购范围和磋商文件及合同条款上所列的各项内容中所述的全部，不得以任何理由予以重复，并以供应商在工程量清单中提出的综合单价或总价为依据。</w:t>
      </w:r>
    </w:p>
    <w:p w14:paraId="62FBD255">
      <w:pPr>
        <w:spacing w:line="360" w:lineRule="auto"/>
        <w:ind w:firstLine="480" w:firstLineChars="200"/>
        <w:rPr>
          <w:rFonts w:ascii="宋体" w:hAnsi="宋体" w:cs="宋体"/>
          <w:bCs/>
          <w:sz w:val="24"/>
        </w:rPr>
      </w:pPr>
      <w:r>
        <w:rPr>
          <w:rFonts w:hint="eastAsia" w:ascii="宋体" w:hAnsi="宋体" w:cs="宋体"/>
          <w:bCs/>
          <w:sz w:val="24"/>
        </w:rPr>
        <w:t>（4）除非政府集中采购机构通过修改磋商文件予以更正，否则，供应商应毫无例外地按工程量清单中列出的工程项目和数量填报综合单价和合价。供应商未填综合单价或合价的项目，在实施后，将不得以支付，并视作该项费用已包括在其它有价款的综合单价或合价内。</w:t>
      </w:r>
    </w:p>
    <w:p w14:paraId="194E4DFB">
      <w:pPr>
        <w:spacing w:line="360" w:lineRule="auto"/>
        <w:ind w:firstLine="480" w:firstLineChars="200"/>
        <w:rPr>
          <w:rFonts w:ascii="宋体" w:hAnsi="宋体" w:cs="宋体"/>
          <w:bCs/>
          <w:sz w:val="24"/>
        </w:rPr>
      </w:pPr>
      <w:r>
        <w:rPr>
          <w:rFonts w:hint="eastAsia" w:ascii="宋体" w:hAnsi="宋体" w:cs="宋体"/>
          <w:bCs/>
          <w:sz w:val="24"/>
        </w:rPr>
        <w:t>（5）供应商应先到工地踏勘以充分了解工地的位置、情况、道路、储存空间、装卸限制及任何其它足以影响响应报价的情况，任何因忽视或误解工地情况而导致的索赔或工期延长申请将不获批准。</w:t>
      </w:r>
    </w:p>
    <w:p w14:paraId="25624E98">
      <w:pPr>
        <w:spacing w:line="360" w:lineRule="auto"/>
        <w:ind w:firstLine="480" w:firstLineChars="200"/>
        <w:rPr>
          <w:rFonts w:ascii="宋体" w:hAnsi="宋体" w:cs="宋体"/>
          <w:bCs/>
          <w:sz w:val="24"/>
        </w:rPr>
      </w:pPr>
      <w:r>
        <w:rPr>
          <w:rFonts w:hint="eastAsia" w:ascii="宋体" w:hAnsi="宋体" w:cs="宋体"/>
          <w:bCs/>
          <w:sz w:val="24"/>
        </w:rPr>
        <w:t>（6）供应商不得期望通过索赔、签证等方式获取补偿，否则，除可能遭到拒绝外，还可能将被作为不良行为记录在案，并可能影响其以后参加政府采购的项目。各供应商在响应报价时，应充分考虑响应报价的风险。</w:t>
      </w:r>
    </w:p>
    <w:p w14:paraId="74A8F951">
      <w:pPr>
        <w:spacing w:line="360" w:lineRule="auto"/>
        <w:ind w:firstLine="480" w:firstLineChars="200"/>
        <w:rPr>
          <w:rFonts w:ascii="宋体" w:hAnsi="宋体" w:cs="宋体"/>
          <w:bCs/>
          <w:sz w:val="24"/>
        </w:rPr>
      </w:pPr>
      <w:r>
        <w:rPr>
          <w:rFonts w:hint="eastAsia" w:ascii="宋体" w:hAnsi="宋体" w:cs="宋体"/>
          <w:bCs/>
          <w:sz w:val="24"/>
        </w:rPr>
        <w:t>（7）供应商响应报价总额一经中标后，即作为成交人与采购人签订该项目合同的总价。</w:t>
      </w:r>
    </w:p>
    <w:p w14:paraId="1878275E">
      <w:pPr>
        <w:spacing w:line="360" w:lineRule="auto"/>
        <w:ind w:firstLine="480" w:firstLineChars="200"/>
        <w:rPr>
          <w:rFonts w:ascii="宋体" w:hAnsi="宋体" w:cs="宋体"/>
          <w:bCs/>
          <w:sz w:val="24"/>
        </w:rPr>
      </w:pPr>
      <w:r>
        <w:rPr>
          <w:rFonts w:hint="eastAsia" w:ascii="宋体" w:hAnsi="宋体" w:cs="宋体"/>
          <w:bCs/>
          <w:sz w:val="24"/>
        </w:rPr>
        <w:t>①本项目采用固定单价合同。工程量清单所列的工程量系采购人的估算，是临时的，作为响应报价的共同基础，不应被理解为是对采购人要求工作内容的全部定义，也不能作为供应商应完成的实际工程量。承包人必须按图纸及有关标准、规范的要求进行施工，实际完成的工程量与分部分项工程量清单中的差异结算时可作调整。凡超出图纸范围又未经变更审批程序的内容，都不予计量；未施工的项目，经监理工程师核实后予以扣减。</w:t>
      </w:r>
    </w:p>
    <w:p w14:paraId="6DC998BF">
      <w:pPr>
        <w:spacing w:line="360" w:lineRule="auto"/>
        <w:ind w:firstLine="480" w:firstLineChars="200"/>
        <w:rPr>
          <w:rFonts w:ascii="宋体" w:hAnsi="宋体" w:cs="宋体"/>
          <w:bCs/>
          <w:sz w:val="24"/>
        </w:rPr>
      </w:pPr>
      <w:r>
        <w:rPr>
          <w:rFonts w:hint="eastAsia" w:ascii="宋体" w:hAnsi="宋体" w:cs="宋体"/>
          <w:bCs/>
          <w:sz w:val="24"/>
        </w:rPr>
        <w:t>②供应商的响应报价必须充分考虑到在施工中实施的施工组织设计对工程造价的影响,并在响应报价中反映出来。</w:t>
      </w:r>
    </w:p>
    <w:p w14:paraId="1651759D">
      <w:pPr>
        <w:spacing w:line="360" w:lineRule="auto"/>
        <w:ind w:firstLine="480" w:firstLineChars="200"/>
        <w:rPr>
          <w:rFonts w:ascii="宋体" w:hAnsi="宋体" w:cs="宋体"/>
          <w:bCs/>
          <w:sz w:val="24"/>
        </w:rPr>
      </w:pPr>
      <w:r>
        <w:rPr>
          <w:rFonts w:hint="eastAsia" w:ascii="宋体" w:hAnsi="宋体" w:cs="宋体"/>
          <w:bCs/>
          <w:sz w:val="24"/>
        </w:rPr>
        <w:t>（8）本项目不接受总价优惠折扣形式的报价，供应商应将对项目的优惠直接在清单报价中体现出来。</w:t>
      </w:r>
    </w:p>
    <w:p w14:paraId="4C4414CE">
      <w:pPr>
        <w:spacing w:line="360" w:lineRule="auto"/>
        <w:ind w:firstLine="480" w:firstLineChars="200"/>
        <w:rPr>
          <w:rFonts w:ascii="宋体" w:hAnsi="宋体" w:cs="宋体"/>
          <w:bCs/>
          <w:sz w:val="24"/>
        </w:rPr>
      </w:pPr>
      <w:r>
        <w:rPr>
          <w:rFonts w:hint="eastAsia" w:ascii="宋体" w:hAnsi="宋体" w:cs="宋体"/>
          <w:bCs/>
          <w:sz w:val="24"/>
        </w:rPr>
        <w:t>（9）采购人委托承包人办理的保险事项：建设工程一切险和第三者责任险，所需的保险费应包含在磋商价中，施工中若发生安全事故，一切责任及费用由承包人负责。</w:t>
      </w:r>
    </w:p>
    <w:p w14:paraId="7145520F">
      <w:pPr>
        <w:spacing w:line="360" w:lineRule="auto"/>
        <w:ind w:firstLine="480" w:firstLineChars="200"/>
        <w:rPr>
          <w:rFonts w:ascii="宋体" w:hAnsi="宋体" w:cs="宋体"/>
          <w:bCs/>
          <w:sz w:val="24"/>
        </w:rPr>
      </w:pPr>
      <w:r>
        <w:rPr>
          <w:rFonts w:hint="eastAsia" w:ascii="宋体" w:hAnsi="宋体" w:cs="宋体"/>
          <w:bCs/>
          <w:sz w:val="24"/>
        </w:rPr>
        <w:t>（10）工程完工后，承包人应恢复修建前的原有状态（工程量按实计算），满足监理工程师和采购人要求，满足政府管理部门的规定和要求。</w:t>
      </w:r>
    </w:p>
    <w:p w14:paraId="0BD93815">
      <w:pPr>
        <w:spacing w:line="360" w:lineRule="auto"/>
        <w:ind w:firstLine="480" w:firstLineChars="200"/>
        <w:rPr>
          <w:rFonts w:ascii="宋体" w:hAnsi="宋体" w:cs="宋体"/>
          <w:bCs/>
          <w:sz w:val="24"/>
        </w:rPr>
      </w:pPr>
      <w:r>
        <w:rPr>
          <w:rFonts w:hint="eastAsia" w:ascii="宋体" w:hAnsi="宋体" w:cs="宋体"/>
          <w:bCs/>
          <w:sz w:val="24"/>
        </w:rPr>
        <w:t>（11）如本工程涉及取土和弃土项目，地点、时间、路线承包人应取得国土、城管部门的同意，不得由此带给采购人任何费用的增加。凡是因承包人措施不当而引起的罚款、索赔和指控等由承包人自行承担。磋商价不因取土或弃土实际运距与分部分项工程量清单不同而作调整。土方回填料必须满足国家技术规范之要求，绿化填土面层必须选用适宜种植的填土。</w:t>
      </w:r>
    </w:p>
    <w:p w14:paraId="72265660">
      <w:pPr>
        <w:spacing w:line="360" w:lineRule="auto"/>
        <w:ind w:firstLine="480" w:firstLineChars="200"/>
        <w:rPr>
          <w:rFonts w:ascii="宋体" w:hAnsi="宋体" w:cs="宋体"/>
          <w:bCs/>
          <w:sz w:val="24"/>
        </w:rPr>
      </w:pPr>
      <w:r>
        <w:rPr>
          <w:rFonts w:hint="eastAsia" w:ascii="宋体" w:hAnsi="宋体" w:cs="宋体"/>
          <w:bCs/>
          <w:sz w:val="24"/>
        </w:rPr>
        <w:t>（12）一切与施工相关的检验实验费（政府有关部门规定由建设单位支付的检验实验费除外）已含在磋商价中。</w:t>
      </w:r>
    </w:p>
    <w:p w14:paraId="7F43298B">
      <w:pPr>
        <w:spacing w:line="360" w:lineRule="auto"/>
        <w:ind w:firstLine="480" w:firstLineChars="200"/>
        <w:rPr>
          <w:rFonts w:ascii="宋体" w:hAnsi="宋体" w:cs="宋体"/>
          <w:bCs/>
          <w:sz w:val="24"/>
        </w:rPr>
      </w:pPr>
      <w:r>
        <w:rPr>
          <w:rFonts w:hint="eastAsia" w:ascii="宋体" w:hAnsi="宋体" w:cs="宋体"/>
          <w:bCs/>
          <w:sz w:val="24"/>
        </w:rPr>
        <w:t>（13）承包人的交通维护方案必须保证施工期间的交通组织符合深圳市公安交通管理的有关规定，保证车辆运行通畅和施工安全，其费用已含在磋商价中。</w:t>
      </w:r>
    </w:p>
    <w:p w14:paraId="440B36EE">
      <w:pPr>
        <w:pStyle w:val="67"/>
        <w:rPr>
          <w:rFonts w:ascii="宋体" w:hAnsi="宋体" w:eastAsia="宋体" w:cs="宋体"/>
          <w:bCs/>
          <w:sz w:val="24"/>
          <w:szCs w:val="24"/>
        </w:rPr>
      </w:pPr>
    </w:p>
    <w:p w14:paraId="4EB84F2A">
      <w:pPr>
        <w:pStyle w:val="125"/>
        <w:spacing w:before="0" w:line="360" w:lineRule="auto"/>
        <w:ind w:left="0" w:firstLine="0"/>
        <w:outlineLvl w:val="2"/>
        <w:rPr>
          <w:rFonts w:ascii="宋体" w:hAnsi="宋体"/>
          <w:b/>
          <w:sz w:val="24"/>
          <w:szCs w:val="24"/>
        </w:rPr>
      </w:pPr>
      <w:bookmarkStart w:id="145" w:name="_Toc152045562"/>
      <w:bookmarkStart w:id="146" w:name="_Toc179632580"/>
      <w:bookmarkStart w:id="147" w:name="_Toc152042338"/>
      <w:bookmarkStart w:id="148" w:name="_Toc144974530"/>
      <w:bookmarkStart w:id="149" w:name="_Toc178"/>
      <w:bookmarkStart w:id="150" w:name="_Toc1780"/>
      <w:bookmarkStart w:id="151" w:name="_Toc25973"/>
      <w:r>
        <w:rPr>
          <w:rFonts w:ascii="宋体" w:hAnsi="宋体"/>
          <w:b/>
          <w:sz w:val="24"/>
          <w:szCs w:val="24"/>
        </w:rPr>
        <w:t>6.</w:t>
      </w:r>
      <w:bookmarkEnd w:id="145"/>
      <w:bookmarkEnd w:id="146"/>
      <w:bookmarkEnd w:id="147"/>
      <w:bookmarkEnd w:id="148"/>
      <w:bookmarkEnd w:id="149"/>
      <w:bookmarkEnd w:id="150"/>
      <w:r>
        <w:rPr>
          <w:rFonts w:hint="eastAsia" w:ascii="宋体" w:hAnsi="宋体"/>
          <w:b/>
          <w:sz w:val="24"/>
          <w:szCs w:val="24"/>
        </w:rPr>
        <w:t>磋商</w:t>
      </w:r>
      <w:bookmarkEnd w:id="151"/>
    </w:p>
    <w:p w14:paraId="354A7DF8">
      <w:pPr>
        <w:pStyle w:val="113"/>
        <w:numPr>
          <w:ilvl w:val="0"/>
          <w:numId w:val="0"/>
        </w:numPr>
        <w:spacing w:line="360" w:lineRule="auto"/>
        <w:outlineLvl w:val="9"/>
        <w:rPr>
          <w:rFonts w:eastAsia="宋体"/>
          <w:b/>
          <w:szCs w:val="24"/>
        </w:rPr>
      </w:pPr>
      <w:bookmarkStart w:id="152" w:name="_Toc144974531"/>
      <w:bookmarkStart w:id="153" w:name="_Toc152042339"/>
      <w:bookmarkStart w:id="154" w:name="_Toc152045563"/>
      <w:bookmarkStart w:id="155" w:name="_Toc179632581"/>
      <w:r>
        <w:rPr>
          <w:rFonts w:eastAsia="宋体"/>
          <w:b/>
          <w:szCs w:val="24"/>
        </w:rPr>
        <w:t xml:space="preserve">6.1 </w:t>
      </w:r>
      <w:bookmarkEnd w:id="152"/>
      <w:bookmarkEnd w:id="153"/>
      <w:bookmarkEnd w:id="154"/>
      <w:bookmarkEnd w:id="155"/>
      <w:r>
        <w:rPr>
          <w:rFonts w:hint="eastAsia" w:eastAsia="宋体"/>
          <w:b/>
          <w:szCs w:val="24"/>
        </w:rPr>
        <w:t>磋商程序</w:t>
      </w:r>
    </w:p>
    <w:p w14:paraId="1695350A">
      <w:pPr>
        <w:spacing w:line="360" w:lineRule="auto"/>
        <w:ind w:firstLine="480" w:firstLineChars="200"/>
        <w:rPr>
          <w:rFonts w:ascii="宋体" w:hAnsi="宋体" w:cs="宋体"/>
          <w:bCs/>
          <w:sz w:val="24"/>
        </w:rPr>
      </w:pPr>
      <w:r>
        <w:rPr>
          <w:rFonts w:ascii="宋体" w:hAnsi="宋体" w:cs="宋体"/>
          <w:bCs/>
          <w:sz w:val="24"/>
        </w:rPr>
        <w:t>6.1.1程序</w:t>
      </w:r>
    </w:p>
    <w:p w14:paraId="6529AC04">
      <w:pPr>
        <w:spacing w:line="360" w:lineRule="auto"/>
        <w:ind w:firstLine="480" w:firstLineChars="200"/>
        <w:rPr>
          <w:rFonts w:ascii="Times New Roman" w:hAnsi="Times New Roman"/>
          <w:sz w:val="24"/>
        </w:rPr>
      </w:pPr>
      <w:r>
        <w:rPr>
          <w:rFonts w:hint="eastAsia" w:ascii="宋体" w:hAnsi="宋体" w:cs="宋体"/>
          <w:bCs/>
          <w:sz w:val="24"/>
        </w:rPr>
        <w:t>（</w:t>
      </w:r>
      <w:r>
        <w:rPr>
          <w:rFonts w:ascii="宋体" w:hAnsi="宋体" w:cs="宋体"/>
          <w:bCs/>
          <w:sz w:val="24"/>
        </w:rPr>
        <w:t>1）</w:t>
      </w:r>
      <w:r>
        <w:rPr>
          <w:rFonts w:hint="eastAsia" w:ascii="宋体" w:hAnsi="宋体" w:cs="宋体"/>
          <w:bCs/>
          <w:sz w:val="24"/>
        </w:rPr>
        <w:t>磋商小组由采购人代表和评审专家共</w:t>
      </w:r>
      <w:r>
        <w:rPr>
          <w:rFonts w:ascii="宋体" w:hAnsi="宋体" w:cs="宋体"/>
          <w:bCs/>
          <w:sz w:val="24"/>
        </w:rPr>
        <w:t>3人以上单数组成，其中评审专家人数不得少于磋商小组成员总数的2/3。采购人代表不得以评审专家身份参加本部门或本单位采购项目的评审。采购代理机构人员不得参加本机构代理的采购项目的评审</w:t>
      </w:r>
      <w:r>
        <w:rPr>
          <w:rFonts w:hint="eastAsia" w:ascii="Times New Roman" w:hAnsi="Times New Roman"/>
          <w:sz w:val="24"/>
        </w:rPr>
        <w:t>。</w:t>
      </w:r>
    </w:p>
    <w:p w14:paraId="4957F241">
      <w:pPr>
        <w:spacing w:line="360" w:lineRule="auto"/>
        <w:ind w:firstLine="480" w:firstLineChars="200"/>
        <w:rPr>
          <w:rFonts w:ascii="宋体" w:hAnsi="宋体" w:cs="宋体"/>
          <w:bCs/>
          <w:sz w:val="24"/>
        </w:rPr>
      </w:pPr>
      <w:r>
        <w:rPr>
          <w:rFonts w:hint="eastAsia" w:ascii="Times New Roman" w:hAnsi="Times New Roman"/>
          <w:sz w:val="24"/>
        </w:rPr>
        <w:t>（</w:t>
      </w:r>
      <w:r>
        <w:rPr>
          <w:rFonts w:ascii="Times New Roman" w:hAnsi="Times New Roman"/>
          <w:sz w:val="24"/>
        </w:rPr>
        <w:t>2</w:t>
      </w:r>
      <w:r>
        <w:rPr>
          <w:rFonts w:hint="eastAsia" w:ascii="Times New Roman" w:hAnsi="Times New Roman"/>
          <w:sz w:val="24"/>
        </w:rPr>
        <w:t>）</w:t>
      </w:r>
      <w:r>
        <w:rPr>
          <w:rFonts w:ascii="宋体" w:hAnsi="宋体" w:cs="宋体"/>
          <w:bCs/>
          <w:sz w:val="24"/>
        </w:rPr>
        <w:t>磋商小组对响应文件的有效性、完整性和响应程度进行审查，并对通过资格性和符合性检查的供应商的商务及报价文件和</w:t>
      </w:r>
      <w:r>
        <w:rPr>
          <w:rFonts w:hint="eastAsia" w:ascii="宋体" w:hAnsi="宋体" w:cs="宋体"/>
          <w:bCs/>
          <w:sz w:val="24"/>
        </w:rPr>
        <w:t>技术</w:t>
      </w:r>
      <w:r>
        <w:rPr>
          <w:rFonts w:ascii="宋体" w:hAnsi="宋体" w:cs="宋体"/>
          <w:bCs/>
          <w:sz w:val="24"/>
        </w:rPr>
        <w:t>方案进行详细评审</w:t>
      </w:r>
      <w:r>
        <w:rPr>
          <w:rFonts w:hint="eastAsia" w:ascii="宋体" w:hAnsi="宋体" w:cs="宋体"/>
          <w:bCs/>
          <w:sz w:val="24"/>
        </w:rPr>
        <w:t>。</w:t>
      </w:r>
    </w:p>
    <w:p w14:paraId="70AFDD69">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3</w:t>
      </w:r>
      <w:r>
        <w:rPr>
          <w:rFonts w:hint="eastAsia" w:ascii="宋体" w:hAnsi="宋体" w:cs="宋体"/>
          <w:bCs/>
          <w:sz w:val="24"/>
        </w:rPr>
        <w:t>）</w:t>
      </w:r>
      <w:r>
        <w:rPr>
          <w:rFonts w:ascii="宋体" w:hAnsi="宋体" w:cs="宋体"/>
          <w:bCs/>
          <w:sz w:val="24"/>
        </w:rPr>
        <w:t>磋商小组与响应文件通过资格性和符合性检查的供应商逐一单独磋商，</w:t>
      </w:r>
      <w:r>
        <w:rPr>
          <w:rFonts w:hint="eastAsia" w:ascii="Times New Roman" w:hAnsi="Times New Roman"/>
          <w:sz w:val="24"/>
        </w:rPr>
        <w:t>按递交响应文件的磋商顺序，集中与单一供应商分别进行磋商，并给予所有参加磋商的供应商平等的谈判机会，</w:t>
      </w:r>
      <w:r>
        <w:rPr>
          <w:rFonts w:ascii="宋体" w:hAnsi="宋体" w:cs="宋体"/>
          <w:bCs/>
          <w:sz w:val="24"/>
        </w:rPr>
        <w:t>并要求供应商提交最后报价</w:t>
      </w:r>
      <w:r>
        <w:rPr>
          <w:rFonts w:hint="eastAsia" w:ascii="宋体" w:hAnsi="宋体" w:cs="宋体"/>
          <w:b/>
          <w:bCs/>
          <w:sz w:val="24"/>
        </w:rPr>
        <w:t>（磋商方式为现场磋商等）</w:t>
      </w:r>
      <w:r>
        <w:rPr>
          <w:rFonts w:hint="eastAsia" w:ascii="宋体" w:hAnsi="宋体" w:cs="宋体"/>
          <w:bCs/>
          <w:sz w:val="24"/>
        </w:rPr>
        <w:t>。</w:t>
      </w:r>
    </w:p>
    <w:p w14:paraId="6365F6DA">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4</w:t>
      </w:r>
      <w:r>
        <w:rPr>
          <w:rFonts w:hint="eastAsia" w:ascii="宋体" w:hAnsi="宋体" w:cs="宋体"/>
          <w:bCs/>
          <w:sz w:val="24"/>
        </w:rPr>
        <w:t>）</w:t>
      </w:r>
      <w:r>
        <w:rPr>
          <w:rFonts w:ascii="宋体" w:hAnsi="宋体" w:cs="宋体"/>
          <w:bCs/>
          <w:sz w:val="24"/>
        </w:rPr>
        <w:t>磋商小组对供应商提交的响应文件和最终磋商报价进行综合评分，并按照评审得分由高到低顺序推荐成交候选供应商，并编写评审报告</w:t>
      </w:r>
      <w:r>
        <w:rPr>
          <w:rFonts w:hint="eastAsia" w:ascii="宋体" w:hAnsi="宋体" w:cs="宋体"/>
          <w:bCs/>
          <w:sz w:val="24"/>
        </w:rPr>
        <w:t>。</w:t>
      </w:r>
    </w:p>
    <w:p w14:paraId="0AF04EEC">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5</w:t>
      </w:r>
      <w:r>
        <w:rPr>
          <w:rFonts w:hint="eastAsia" w:ascii="宋体" w:hAnsi="宋体" w:cs="宋体"/>
          <w:bCs/>
          <w:sz w:val="24"/>
        </w:rPr>
        <w:t>）</w:t>
      </w:r>
      <w:r>
        <w:rPr>
          <w:rFonts w:ascii="宋体" w:hAnsi="宋体" w:cs="宋体"/>
          <w:bCs/>
          <w:sz w:val="24"/>
        </w:rPr>
        <w:t>本次竞争性磋商报价限两次，第二次报价为最终报价</w:t>
      </w:r>
      <w:r>
        <w:rPr>
          <w:rFonts w:hint="eastAsia" w:ascii="宋体" w:hAnsi="宋体" w:cs="宋体"/>
          <w:bCs/>
          <w:sz w:val="24"/>
        </w:rPr>
        <w:t>。</w:t>
      </w:r>
    </w:p>
    <w:p w14:paraId="6FE1E6DD">
      <w:pPr>
        <w:spacing w:line="360" w:lineRule="auto"/>
        <w:ind w:firstLine="480" w:firstLineChars="200"/>
        <w:rPr>
          <w:rFonts w:ascii="宋体" w:hAnsi="宋体" w:cs="宋体"/>
          <w:bCs/>
          <w:sz w:val="24"/>
        </w:rPr>
      </w:pPr>
      <w:r>
        <w:rPr>
          <w:rFonts w:ascii="宋体" w:hAnsi="宋体" w:cs="宋体"/>
          <w:bCs/>
          <w:sz w:val="24"/>
        </w:rPr>
        <w:t>6.1.2 磋商小组</w:t>
      </w:r>
      <w:r>
        <w:rPr>
          <w:rFonts w:hint="eastAsia" w:ascii="宋体" w:hAnsi="宋体" w:cs="宋体"/>
          <w:bCs/>
          <w:sz w:val="24"/>
        </w:rPr>
        <w:t>成员有下列情形之一的，应当回避：</w:t>
      </w:r>
    </w:p>
    <w:p w14:paraId="234F600F">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1）供应商或供应商的主要负责人的近亲属；</w:t>
      </w:r>
    </w:p>
    <w:p w14:paraId="25D95D3B">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2）项目主管部门或者行政监督部门的人员；</w:t>
      </w:r>
    </w:p>
    <w:p w14:paraId="0B14B80A">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3）与供应商有经济利益关系，可能影响对公正评审的；</w:t>
      </w:r>
    </w:p>
    <w:p w14:paraId="4090652F">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4）曾因在</w:t>
      </w:r>
      <w:r>
        <w:rPr>
          <w:rFonts w:hint="eastAsia" w:ascii="宋体" w:hAnsi="宋体" w:cs="宋体"/>
          <w:bCs/>
          <w:sz w:val="24"/>
        </w:rPr>
        <w:t>采购</w:t>
      </w:r>
      <w:r>
        <w:rPr>
          <w:rFonts w:ascii="宋体" w:hAnsi="宋体" w:cs="宋体"/>
          <w:bCs/>
          <w:sz w:val="24"/>
        </w:rPr>
        <w:t>、评标以及其他与</w:t>
      </w:r>
      <w:r>
        <w:rPr>
          <w:rFonts w:hint="eastAsia" w:ascii="宋体" w:hAnsi="宋体" w:cs="宋体"/>
          <w:bCs/>
          <w:sz w:val="24"/>
        </w:rPr>
        <w:t>采购</w:t>
      </w:r>
      <w:r>
        <w:rPr>
          <w:rFonts w:ascii="宋体" w:hAnsi="宋体" w:cs="宋体"/>
          <w:bCs/>
          <w:sz w:val="24"/>
        </w:rPr>
        <w:t>有关活动中从事违法行为而受过行政处罚或刑事处罚的。</w:t>
      </w:r>
    </w:p>
    <w:p w14:paraId="428B8DE8">
      <w:pPr>
        <w:pStyle w:val="113"/>
        <w:numPr>
          <w:ilvl w:val="0"/>
          <w:numId w:val="0"/>
        </w:numPr>
        <w:tabs>
          <w:tab w:val="left" w:pos="2620"/>
        </w:tabs>
        <w:spacing w:line="360" w:lineRule="auto"/>
        <w:outlineLvl w:val="9"/>
        <w:rPr>
          <w:rFonts w:eastAsia="宋体"/>
          <w:bCs/>
          <w:szCs w:val="24"/>
        </w:rPr>
      </w:pPr>
      <w:bookmarkStart w:id="156" w:name="_Toc152045564"/>
      <w:bookmarkStart w:id="157" w:name="_Toc144974532"/>
      <w:bookmarkStart w:id="158" w:name="_Toc152042340"/>
      <w:bookmarkStart w:id="159" w:name="_Toc179632582"/>
      <w:r>
        <w:rPr>
          <w:rFonts w:eastAsia="宋体"/>
          <w:b/>
          <w:szCs w:val="24"/>
        </w:rPr>
        <w:t xml:space="preserve">6.2 </w:t>
      </w:r>
      <w:r>
        <w:rPr>
          <w:rFonts w:hint="eastAsia" w:eastAsia="宋体"/>
          <w:b/>
          <w:szCs w:val="24"/>
        </w:rPr>
        <w:t>磋商原则</w:t>
      </w:r>
      <w:bookmarkEnd w:id="156"/>
      <w:bookmarkEnd w:id="157"/>
      <w:bookmarkEnd w:id="158"/>
      <w:bookmarkEnd w:id="159"/>
      <w:r>
        <w:tab/>
      </w:r>
    </w:p>
    <w:p w14:paraId="6AE3E694">
      <w:pPr>
        <w:spacing w:line="360" w:lineRule="auto"/>
        <w:ind w:firstLine="480" w:firstLineChars="200"/>
        <w:rPr>
          <w:rFonts w:ascii="宋体" w:hAnsi="宋体" w:cs="宋体"/>
          <w:bCs/>
          <w:sz w:val="24"/>
        </w:rPr>
      </w:pPr>
      <w:r>
        <w:rPr>
          <w:rFonts w:ascii="宋体" w:hAnsi="宋体" w:cs="宋体"/>
          <w:bCs/>
          <w:sz w:val="24"/>
        </w:rPr>
        <w:t>磋商小组成员将按照客观、公正、审慎的原则，根据磋商文件规定的评审程序、评审方法和评审标准进行独立评审。磋商小组成员应当遵守磋商工作纪律，不得泄露磋商及评审情况和磋商评审中获悉的商业秘密。除法定必须公开的信息外，不得泄露参与竞争的供应商的任何技术方案、经营信息等资料</w:t>
      </w:r>
      <w:r>
        <w:rPr>
          <w:rFonts w:hint="eastAsia" w:ascii="宋体" w:hAnsi="宋体" w:cs="宋体"/>
          <w:bCs/>
          <w:sz w:val="24"/>
        </w:rPr>
        <w:t>。</w:t>
      </w:r>
    </w:p>
    <w:p w14:paraId="4C1CF24E">
      <w:pPr>
        <w:pStyle w:val="113"/>
        <w:numPr>
          <w:ilvl w:val="0"/>
          <w:numId w:val="0"/>
        </w:numPr>
        <w:tabs>
          <w:tab w:val="left" w:pos="2620"/>
        </w:tabs>
        <w:spacing w:line="360" w:lineRule="auto"/>
        <w:outlineLvl w:val="9"/>
        <w:rPr>
          <w:rFonts w:eastAsia="宋体"/>
          <w:b/>
          <w:szCs w:val="24"/>
        </w:rPr>
      </w:pPr>
      <w:bookmarkStart w:id="160" w:name="_Toc152045565"/>
      <w:bookmarkStart w:id="161" w:name="_Toc152042341"/>
      <w:bookmarkStart w:id="162" w:name="_Toc144974533"/>
      <w:bookmarkStart w:id="163" w:name="_Toc179632583"/>
      <w:r>
        <w:rPr>
          <w:rFonts w:eastAsia="宋体"/>
          <w:b/>
          <w:szCs w:val="24"/>
        </w:rPr>
        <w:t xml:space="preserve">6.3 </w:t>
      </w:r>
      <w:bookmarkEnd w:id="160"/>
      <w:bookmarkEnd w:id="161"/>
      <w:bookmarkEnd w:id="162"/>
      <w:bookmarkEnd w:id="163"/>
      <w:r>
        <w:rPr>
          <w:rFonts w:hint="eastAsia" w:eastAsia="宋体"/>
          <w:b/>
          <w:szCs w:val="24"/>
        </w:rPr>
        <w:t>评审</w:t>
      </w:r>
    </w:p>
    <w:p w14:paraId="0287A0AB">
      <w:pPr>
        <w:spacing w:line="360" w:lineRule="auto"/>
        <w:ind w:firstLine="480" w:firstLineChars="200"/>
        <w:rPr>
          <w:rFonts w:ascii="宋体" w:hAnsi="宋体" w:cs="宋体"/>
          <w:bCs/>
          <w:sz w:val="24"/>
        </w:rPr>
      </w:pPr>
      <w:r>
        <w:rPr>
          <w:rFonts w:hint="eastAsia" w:ascii="宋体" w:hAnsi="宋体" w:cs="宋体"/>
          <w:bCs/>
          <w:sz w:val="24"/>
        </w:rPr>
        <w:t>磋商小组按照第三章“评标办法”规定的方法、评审因素、标准和程序对响应文件进行评审。第三章“评标办法”没有规定的方法、评审因素和标准，不作为评标依据。</w:t>
      </w:r>
    </w:p>
    <w:p w14:paraId="4074179B">
      <w:pPr>
        <w:pStyle w:val="113"/>
        <w:numPr>
          <w:ilvl w:val="0"/>
          <w:numId w:val="0"/>
        </w:numPr>
        <w:tabs>
          <w:tab w:val="left" w:pos="2620"/>
        </w:tabs>
        <w:spacing w:line="360" w:lineRule="auto"/>
        <w:outlineLvl w:val="9"/>
        <w:rPr>
          <w:rFonts w:eastAsia="宋体"/>
          <w:b/>
          <w:szCs w:val="24"/>
        </w:rPr>
      </w:pPr>
      <w:r>
        <w:rPr>
          <w:rFonts w:eastAsia="宋体"/>
          <w:b/>
          <w:szCs w:val="24"/>
        </w:rPr>
        <w:t>6.4其他</w:t>
      </w:r>
    </w:p>
    <w:p w14:paraId="69BE1AB3">
      <w:pPr>
        <w:spacing w:line="360" w:lineRule="auto"/>
        <w:ind w:firstLine="480" w:firstLineChars="200"/>
        <w:rPr>
          <w:rFonts w:ascii="Times New Roman" w:hAnsi="Times New Roman"/>
          <w:bCs/>
          <w:kern w:val="0"/>
          <w:sz w:val="24"/>
          <w:szCs w:val="21"/>
        </w:rPr>
      </w:pPr>
      <w:r>
        <w:rPr>
          <w:rFonts w:hint="eastAsia" w:ascii="Times New Roman" w:hAnsi="Times New Roman"/>
          <w:bCs/>
          <w:kern w:val="0"/>
          <w:sz w:val="24"/>
          <w:szCs w:val="21"/>
        </w:rPr>
        <w:t>磋商小组将根据本磋商文件规定的程序、方法和标准与供应商进行谈判。在磋商过程中，磋商的任何一方不得透露与磋商有关的其他供应商的技术资料、价格和其他信息。</w:t>
      </w:r>
    </w:p>
    <w:p w14:paraId="724D50A0">
      <w:pPr>
        <w:spacing w:line="360" w:lineRule="auto"/>
        <w:ind w:firstLine="480" w:firstLineChars="200"/>
        <w:rPr>
          <w:rFonts w:ascii="Times New Roman" w:hAnsi="Times New Roman"/>
          <w:bCs/>
          <w:kern w:val="0"/>
          <w:sz w:val="24"/>
          <w:szCs w:val="21"/>
        </w:rPr>
      </w:pPr>
      <w:r>
        <w:rPr>
          <w:rFonts w:hint="eastAsia" w:ascii="Times New Roman" w:hAnsi="Times New Roman"/>
          <w:bCs/>
          <w:kern w:val="0"/>
          <w:sz w:val="24"/>
          <w:szCs w:val="21"/>
        </w:rPr>
        <w:t>磋商小组可以根据磋商文件和磋商情况实质性变动采购需求中的技术、服务要求以及合同草案条款，但不得变动磋商文件中的其他内容。实质性变动的内容，须经采购人代表确认。对磋商文件作出的实质性变动是磋商文件的有效组成部分，磋商小组将以书面形式同时通知所有响应供应商。</w:t>
      </w:r>
    </w:p>
    <w:p w14:paraId="354807A4">
      <w:pPr>
        <w:spacing w:line="360" w:lineRule="auto"/>
        <w:ind w:firstLine="480" w:firstLineChars="200"/>
        <w:rPr>
          <w:rFonts w:ascii="Times New Roman" w:hAnsi="Times New Roman"/>
          <w:bCs/>
          <w:kern w:val="0"/>
          <w:sz w:val="24"/>
          <w:szCs w:val="21"/>
        </w:rPr>
      </w:pPr>
      <w:r>
        <w:rPr>
          <w:rFonts w:hint="eastAsia" w:ascii="Times New Roman" w:hAnsi="Times New Roman"/>
          <w:bCs/>
          <w:kern w:val="0"/>
          <w:sz w:val="24"/>
          <w:szCs w:val="21"/>
        </w:rPr>
        <w:t>供应商应当按照磋商文件的变动情况和磋商小组的要求重新提交响应文件，并由其法定代表人或授权代表签字或者加盖公章。由授权代表签字的，应当附法定代表人授权书。</w:t>
      </w:r>
    </w:p>
    <w:p w14:paraId="4877E852">
      <w:pPr>
        <w:spacing w:line="360" w:lineRule="auto"/>
        <w:ind w:firstLine="480" w:firstLineChars="200"/>
        <w:rPr>
          <w:rFonts w:ascii="Times New Roman" w:hAnsi="Times New Roman"/>
          <w:bCs/>
          <w:kern w:val="0"/>
          <w:sz w:val="24"/>
          <w:szCs w:val="21"/>
        </w:rPr>
      </w:pPr>
      <w:r>
        <w:rPr>
          <w:rFonts w:hint="eastAsia" w:ascii="Times New Roman" w:hAnsi="Times New Roman"/>
          <w:bCs/>
          <w:kern w:val="0"/>
          <w:sz w:val="24"/>
          <w:szCs w:val="21"/>
        </w:rPr>
        <w:t>最后报价：经磋商确定实质性响应的供应商后，磋商小组要求所有实质性响应的供应商在规定时间内提交最后报价，提交最后报价的供应商应不少于</w:t>
      </w:r>
      <w:r>
        <w:rPr>
          <w:rFonts w:ascii="Times New Roman" w:hAnsi="Times New Roman"/>
          <w:bCs/>
          <w:kern w:val="0"/>
          <w:sz w:val="24"/>
          <w:szCs w:val="21"/>
        </w:rPr>
        <w:t>3</w:t>
      </w:r>
      <w:r>
        <w:rPr>
          <w:rFonts w:hint="eastAsia" w:ascii="Times New Roman" w:hAnsi="Times New Roman"/>
          <w:bCs/>
          <w:kern w:val="0"/>
          <w:sz w:val="24"/>
          <w:szCs w:val="21"/>
        </w:rPr>
        <w:t>家。</w:t>
      </w:r>
    </w:p>
    <w:p w14:paraId="2EE3D00F">
      <w:pPr>
        <w:spacing w:line="360" w:lineRule="auto"/>
        <w:ind w:firstLine="480" w:firstLineChars="200"/>
        <w:rPr>
          <w:rFonts w:ascii="Times New Roman" w:hAnsi="Times New Roman"/>
          <w:bCs/>
          <w:kern w:val="0"/>
          <w:sz w:val="24"/>
          <w:szCs w:val="21"/>
        </w:rPr>
      </w:pPr>
      <w:r>
        <w:rPr>
          <w:rFonts w:hint="eastAsia" w:ascii="Times New Roman" w:hAnsi="Times New Roman"/>
          <w:bCs/>
          <w:kern w:val="0"/>
          <w:sz w:val="24"/>
          <w:szCs w:val="21"/>
        </w:rPr>
        <w:t>经磋商确定最终采购需求和提交最后报价的供应商后，由磋商小组采用综合评分法对提交最后报价的供应商的响应文件和最后报价进行综合评分，择优选择综合实力较强的成交候选供应商。</w:t>
      </w:r>
    </w:p>
    <w:p w14:paraId="3D8C6968">
      <w:pPr>
        <w:spacing w:line="360" w:lineRule="auto"/>
        <w:ind w:firstLine="480" w:firstLineChars="200"/>
        <w:rPr>
          <w:bCs/>
          <w:kern w:val="0"/>
          <w:sz w:val="24"/>
          <w:szCs w:val="21"/>
        </w:rPr>
      </w:pPr>
      <w:r>
        <w:rPr>
          <w:rFonts w:hint="eastAsia"/>
          <w:bCs/>
          <w:kern w:val="0"/>
          <w:sz w:val="24"/>
          <w:szCs w:val="21"/>
        </w:rPr>
        <w:t>响应文件的评审和比较工作由磋商小组负责，评审、比较过程、结果对外不作任何解释。</w:t>
      </w:r>
    </w:p>
    <w:p w14:paraId="74E6E49A">
      <w:pPr>
        <w:pStyle w:val="113"/>
        <w:numPr>
          <w:ilvl w:val="0"/>
          <w:numId w:val="0"/>
        </w:numPr>
        <w:tabs>
          <w:tab w:val="left" w:pos="2620"/>
        </w:tabs>
        <w:spacing w:line="360" w:lineRule="auto"/>
        <w:outlineLvl w:val="9"/>
        <w:rPr>
          <w:rFonts w:eastAsia="宋体"/>
          <w:b/>
          <w:szCs w:val="24"/>
        </w:rPr>
      </w:pPr>
      <w:r>
        <w:rPr>
          <w:rFonts w:eastAsia="宋体"/>
          <w:b/>
          <w:szCs w:val="24"/>
        </w:rPr>
        <w:t>6.5初步确定成交候选供应商</w:t>
      </w:r>
    </w:p>
    <w:p w14:paraId="05AC188D">
      <w:pPr>
        <w:widowControl/>
        <w:spacing w:line="460" w:lineRule="exact"/>
        <w:ind w:firstLine="480" w:firstLineChars="200"/>
        <w:jc w:val="left"/>
        <w:rPr>
          <w:bCs/>
          <w:kern w:val="0"/>
          <w:sz w:val="24"/>
          <w:szCs w:val="21"/>
        </w:rPr>
      </w:pPr>
      <w:r>
        <w:rPr>
          <w:rFonts w:hint="eastAsia"/>
          <w:bCs/>
          <w:kern w:val="0"/>
          <w:sz w:val="24"/>
          <w:szCs w:val="21"/>
        </w:rPr>
        <w:t>磋商小组根据综合评分情况，按照评审得分由高到低顺序推荐至少</w:t>
      </w:r>
      <w:r>
        <w:rPr>
          <w:bCs/>
          <w:kern w:val="0"/>
          <w:sz w:val="24"/>
          <w:szCs w:val="21"/>
        </w:rPr>
        <w:t>3</w:t>
      </w:r>
      <w:r>
        <w:rPr>
          <w:rFonts w:hint="eastAsia"/>
          <w:bCs/>
          <w:kern w:val="0"/>
          <w:sz w:val="24"/>
          <w:szCs w:val="21"/>
        </w:rPr>
        <w:t>名成交候选供应商，并编写评审报告。</w:t>
      </w:r>
    </w:p>
    <w:p w14:paraId="597B4E5A">
      <w:pPr>
        <w:widowControl/>
        <w:spacing w:line="460" w:lineRule="exact"/>
        <w:ind w:firstLine="480" w:firstLineChars="200"/>
        <w:rPr>
          <w:bCs/>
          <w:kern w:val="0"/>
          <w:sz w:val="24"/>
          <w:szCs w:val="21"/>
        </w:rPr>
      </w:pPr>
      <w:r>
        <w:rPr>
          <w:rFonts w:hint="eastAsia"/>
          <w:bCs/>
          <w:kern w:val="0"/>
          <w:sz w:val="24"/>
          <w:szCs w:val="21"/>
        </w:rPr>
        <w:t>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633F018F">
      <w:pPr>
        <w:spacing w:line="360" w:lineRule="auto"/>
        <w:ind w:firstLine="480" w:firstLineChars="200"/>
        <w:rPr>
          <w:bCs/>
          <w:kern w:val="0"/>
          <w:sz w:val="24"/>
          <w:szCs w:val="21"/>
        </w:rPr>
      </w:pPr>
      <w:r>
        <w:rPr>
          <w:rFonts w:hint="eastAsia"/>
          <w:bCs/>
          <w:kern w:val="0"/>
          <w:sz w:val="24"/>
          <w:szCs w:val="21"/>
        </w:rPr>
        <w:t>评审结束后</w:t>
      </w:r>
      <w:r>
        <w:rPr>
          <w:bCs/>
          <w:kern w:val="0"/>
          <w:sz w:val="24"/>
          <w:szCs w:val="21"/>
        </w:rPr>
        <w:t>2</w:t>
      </w:r>
      <w:r>
        <w:rPr>
          <w:rFonts w:hint="eastAsia"/>
          <w:bCs/>
          <w:kern w:val="0"/>
          <w:sz w:val="24"/>
          <w:szCs w:val="21"/>
        </w:rPr>
        <w:t>个工作日内采购代理机构将评审报告送采购人确认。</w:t>
      </w:r>
    </w:p>
    <w:p w14:paraId="5311E5C9">
      <w:pPr>
        <w:pStyle w:val="113"/>
        <w:numPr>
          <w:ilvl w:val="0"/>
          <w:numId w:val="0"/>
        </w:numPr>
        <w:tabs>
          <w:tab w:val="left" w:pos="2620"/>
        </w:tabs>
        <w:spacing w:line="360" w:lineRule="auto"/>
        <w:outlineLvl w:val="9"/>
        <w:rPr>
          <w:rFonts w:eastAsia="宋体"/>
          <w:b/>
          <w:szCs w:val="24"/>
        </w:rPr>
      </w:pPr>
      <w:r>
        <w:rPr>
          <w:rFonts w:eastAsia="宋体"/>
          <w:b/>
          <w:szCs w:val="24"/>
        </w:rPr>
        <w:t>6.6确定成交候选供应商</w:t>
      </w:r>
    </w:p>
    <w:p w14:paraId="6629CDC4">
      <w:pPr>
        <w:spacing w:line="360" w:lineRule="auto"/>
        <w:ind w:firstLine="480" w:firstLineChars="200"/>
        <w:rPr>
          <w:rFonts w:ascii="Times New Roman" w:hAnsi="Times New Roman"/>
          <w:bCs/>
          <w:kern w:val="0"/>
          <w:sz w:val="24"/>
          <w:szCs w:val="21"/>
        </w:rPr>
      </w:pPr>
      <w:r>
        <w:rPr>
          <w:rFonts w:hint="eastAsia" w:ascii="Times New Roman" w:hAnsi="Times New Roman"/>
          <w:bCs/>
          <w:kern w:val="0"/>
          <w:sz w:val="24"/>
          <w:szCs w:val="21"/>
        </w:rPr>
        <w:t>项目采购评审结束后，采购人根据评审报告提供的候选供应商排名，确定排名第一的候选供应商即为成交供应商。</w:t>
      </w:r>
    </w:p>
    <w:p w14:paraId="0CEB0939">
      <w:pPr>
        <w:pStyle w:val="125"/>
        <w:spacing w:before="0" w:line="360" w:lineRule="auto"/>
        <w:ind w:left="0" w:firstLine="0"/>
        <w:outlineLvl w:val="2"/>
        <w:rPr>
          <w:rFonts w:ascii="宋体" w:hAnsi="宋体"/>
          <w:b/>
          <w:sz w:val="24"/>
          <w:szCs w:val="24"/>
        </w:rPr>
      </w:pPr>
      <w:bookmarkStart w:id="164" w:name="_Toc29638"/>
      <w:bookmarkStart w:id="165" w:name="_Toc18941"/>
      <w:bookmarkStart w:id="166" w:name="_Toc152042342"/>
      <w:bookmarkStart w:id="167" w:name="_Toc179632584"/>
      <w:bookmarkStart w:id="168" w:name="_Toc30005"/>
      <w:bookmarkStart w:id="169" w:name="_Toc144974534"/>
      <w:bookmarkStart w:id="170" w:name="_Toc152045566"/>
      <w:r>
        <w:rPr>
          <w:rFonts w:ascii="宋体" w:hAnsi="宋体"/>
          <w:b/>
          <w:sz w:val="24"/>
          <w:szCs w:val="24"/>
        </w:rPr>
        <w:t>7.合同授予</w:t>
      </w:r>
      <w:bookmarkEnd w:id="164"/>
      <w:bookmarkEnd w:id="165"/>
      <w:bookmarkEnd w:id="166"/>
      <w:bookmarkEnd w:id="167"/>
      <w:bookmarkEnd w:id="168"/>
      <w:bookmarkEnd w:id="169"/>
      <w:bookmarkEnd w:id="170"/>
    </w:p>
    <w:p w14:paraId="46E7A5E1">
      <w:pPr>
        <w:pStyle w:val="113"/>
        <w:numPr>
          <w:ilvl w:val="0"/>
          <w:numId w:val="0"/>
        </w:numPr>
        <w:spacing w:line="360" w:lineRule="auto"/>
        <w:outlineLvl w:val="9"/>
        <w:rPr>
          <w:rFonts w:eastAsia="宋体"/>
          <w:b/>
          <w:szCs w:val="24"/>
        </w:rPr>
      </w:pPr>
      <w:bookmarkStart w:id="171" w:name="_Toc144974535"/>
      <w:bookmarkStart w:id="172" w:name="_Toc179632585"/>
      <w:bookmarkStart w:id="173" w:name="_Toc152045567"/>
      <w:bookmarkStart w:id="174" w:name="_Toc152042343"/>
      <w:r>
        <w:rPr>
          <w:rFonts w:eastAsia="宋体"/>
          <w:b/>
          <w:szCs w:val="24"/>
        </w:rPr>
        <w:t xml:space="preserve">7.1 </w:t>
      </w:r>
      <w:r>
        <w:rPr>
          <w:rFonts w:hint="eastAsia" w:eastAsia="宋体"/>
          <w:b/>
          <w:szCs w:val="24"/>
        </w:rPr>
        <w:t>定标方式</w:t>
      </w:r>
      <w:bookmarkEnd w:id="171"/>
      <w:bookmarkEnd w:id="172"/>
      <w:bookmarkEnd w:id="173"/>
      <w:bookmarkEnd w:id="174"/>
    </w:p>
    <w:p w14:paraId="70709CC7">
      <w:pPr>
        <w:spacing w:line="360" w:lineRule="auto"/>
        <w:ind w:firstLine="480" w:firstLineChars="200"/>
        <w:rPr>
          <w:rFonts w:ascii="宋体" w:hAnsi="宋体" w:cs="宋体"/>
          <w:bCs/>
          <w:sz w:val="24"/>
        </w:rPr>
      </w:pPr>
      <w:r>
        <w:rPr>
          <w:rFonts w:hint="eastAsia" w:ascii="宋体" w:hAnsi="宋体" w:cs="宋体"/>
          <w:bCs/>
          <w:sz w:val="24"/>
        </w:rPr>
        <w:t>除竞争性磋商须知前附表规定磋商小组直接确定成交供应商外，采购人依据磋商小组推荐的成交候选供应商确定一名成交供应商，原则上第一成交候选供应商即为最终成交供应商，第一成交候选供应商放弃成交、因不可抗力不能履行合同、不按照采购文件要求提交履约保证金，或者被查实存在影响成交结果的违法行为等情形，不符合成交条件的，采购人可以按照磋商小组提出的成交候选供应商名单排序依次确定其他成交候选供应商为成交供应商，依次确定的其他成交候选供应商与采购人预期差距较大，或者对采购人明显不利的，也可以重新采购</w:t>
      </w:r>
      <w:r>
        <w:rPr>
          <w:rFonts w:ascii="宋体" w:hAnsi="宋体" w:cs="宋体"/>
          <w:bCs/>
          <w:sz w:val="24"/>
        </w:rPr>
        <w:t>,如顺延须按照深圳市相关文件执行，磋商小组推荐成交候选供应商的人数见竞争性磋商须知前附表。</w:t>
      </w:r>
    </w:p>
    <w:p w14:paraId="59B0FA05">
      <w:pPr>
        <w:pStyle w:val="113"/>
        <w:numPr>
          <w:ilvl w:val="0"/>
          <w:numId w:val="0"/>
        </w:numPr>
        <w:spacing w:line="360" w:lineRule="auto"/>
        <w:outlineLvl w:val="9"/>
        <w:rPr>
          <w:rFonts w:eastAsia="宋体"/>
          <w:b/>
          <w:szCs w:val="24"/>
        </w:rPr>
      </w:pPr>
      <w:bookmarkStart w:id="175" w:name="_Toc152042344"/>
      <w:bookmarkStart w:id="176" w:name="_Toc144974536"/>
      <w:bookmarkStart w:id="177" w:name="_Toc152045568"/>
      <w:bookmarkStart w:id="178" w:name="_Toc179632586"/>
      <w:r>
        <w:rPr>
          <w:rFonts w:eastAsia="宋体"/>
          <w:b/>
          <w:szCs w:val="24"/>
        </w:rPr>
        <w:t>7.2成交候选供应商公示、</w:t>
      </w:r>
      <w:r>
        <w:rPr>
          <w:rFonts w:hint="eastAsia" w:eastAsia="宋体"/>
          <w:b/>
          <w:szCs w:val="24"/>
        </w:rPr>
        <w:t>成交通知</w:t>
      </w:r>
      <w:bookmarkEnd w:id="175"/>
      <w:bookmarkEnd w:id="176"/>
      <w:bookmarkEnd w:id="177"/>
      <w:bookmarkEnd w:id="178"/>
    </w:p>
    <w:p w14:paraId="1173B97B">
      <w:pPr>
        <w:spacing w:line="360" w:lineRule="auto"/>
        <w:ind w:firstLine="480" w:firstLineChars="200"/>
        <w:rPr>
          <w:rFonts w:ascii="宋体" w:hAnsi="宋体" w:cs="宋体"/>
          <w:bCs/>
          <w:sz w:val="24"/>
        </w:rPr>
      </w:pPr>
      <w:r>
        <w:rPr>
          <w:rFonts w:ascii="宋体" w:hAnsi="宋体" w:cs="宋体"/>
          <w:bCs/>
          <w:sz w:val="24"/>
        </w:rPr>
        <w:t xml:space="preserve">7.2.1 </w:t>
      </w:r>
      <w:r>
        <w:rPr>
          <w:rFonts w:hint="eastAsia" w:ascii="宋体" w:hAnsi="宋体" w:cs="宋体"/>
          <w:bCs/>
          <w:sz w:val="24"/>
        </w:rPr>
        <w:t>采购人或者采购代理机构在竞争性磋商须知前附表规定的媒介公示成交候选供应商，公示时间不少于</w:t>
      </w:r>
      <w:r>
        <w:rPr>
          <w:rFonts w:ascii="宋体" w:hAnsi="宋体" w:cs="宋体"/>
          <w:bCs/>
          <w:sz w:val="24"/>
        </w:rPr>
        <w:t>1</w:t>
      </w:r>
      <w:r>
        <w:rPr>
          <w:rFonts w:hint="eastAsia" w:ascii="宋体" w:hAnsi="宋体" w:cs="宋体"/>
          <w:bCs/>
          <w:sz w:val="24"/>
        </w:rPr>
        <w:t>个工作日</w:t>
      </w:r>
      <w:r>
        <w:rPr>
          <w:rFonts w:ascii="宋体" w:hAnsi="宋体" w:cs="宋体"/>
          <w:bCs/>
          <w:sz w:val="24"/>
        </w:rPr>
        <w:t>,如成交候选供应商有行贿、受贿等违法、犯罪问题，则取消其成交候选供应商资格。</w:t>
      </w:r>
    </w:p>
    <w:p w14:paraId="22A65B10">
      <w:pPr>
        <w:spacing w:line="360" w:lineRule="auto"/>
        <w:ind w:firstLine="480" w:firstLineChars="200"/>
        <w:rPr>
          <w:rFonts w:ascii="宋体" w:hAnsi="宋体" w:cs="宋体"/>
          <w:bCs/>
          <w:sz w:val="24"/>
        </w:rPr>
      </w:pPr>
      <w:r>
        <w:rPr>
          <w:rFonts w:ascii="宋体" w:hAnsi="宋体" w:cs="宋体"/>
          <w:bCs/>
          <w:sz w:val="24"/>
        </w:rPr>
        <w:t xml:space="preserve">7.2.2 </w:t>
      </w:r>
      <w:r>
        <w:rPr>
          <w:rFonts w:hint="eastAsia" w:ascii="宋体" w:hAnsi="宋体" w:cs="宋体"/>
          <w:bCs/>
          <w:sz w:val="24"/>
        </w:rPr>
        <w:t>在本章第</w:t>
      </w:r>
      <w:r>
        <w:rPr>
          <w:rFonts w:ascii="宋体" w:hAnsi="宋体" w:cs="宋体"/>
          <w:bCs/>
          <w:sz w:val="24"/>
        </w:rPr>
        <w:t>3.3款规定的有效期内，</w:t>
      </w:r>
      <w:r>
        <w:rPr>
          <w:rFonts w:hint="eastAsia" w:ascii="宋体" w:hAnsi="宋体" w:cs="宋体"/>
          <w:bCs/>
          <w:sz w:val="24"/>
        </w:rPr>
        <w:t>采购人或者采购代理机构应当在成交供应商确定后</w:t>
      </w:r>
      <w:r>
        <w:rPr>
          <w:rFonts w:ascii="宋体" w:hAnsi="宋体" w:cs="宋体"/>
          <w:bCs/>
          <w:sz w:val="24"/>
        </w:rPr>
        <w:t>2个工作日内，在省级以上财政部门指定的政府采购信息发布媒体上公告成交结果，同时向成交供应商发出成交通知书，并将磋商文件随成交结果同时公告。</w:t>
      </w:r>
    </w:p>
    <w:p w14:paraId="6EEF6F90">
      <w:pPr>
        <w:pStyle w:val="113"/>
        <w:numPr>
          <w:ilvl w:val="0"/>
          <w:numId w:val="0"/>
        </w:numPr>
        <w:spacing w:line="360" w:lineRule="auto"/>
        <w:outlineLvl w:val="9"/>
        <w:rPr>
          <w:rFonts w:eastAsia="宋体"/>
          <w:b/>
          <w:szCs w:val="24"/>
        </w:rPr>
      </w:pPr>
      <w:bookmarkStart w:id="179" w:name="_Toc152042346"/>
      <w:bookmarkStart w:id="180" w:name="_Toc179632588"/>
      <w:bookmarkStart w:id="181" w:name="_Toc144974538"/>
      <w:bookmarkStart w:id="182" w:name="_Toc152045570"/>
      <w:r>
        <w:rPr>
          <w:rFonts w:eastAsia="宋体"/>
          <w:b/>
          <w:szCs w:val="24"/>
        </w:rPr>
        <w:t xml:space="preserve">7.3 </w:t>
      </w:r>
      <w:r>
        <w:rPr>
          <w:rFonts w:hint="eastAsia" w:eastAsia="宋体"/>
          <w:b/>
          <w:szCs w:val="24"/>
        </w:rPr>
        <w:t>签订合同</w:t>
      </w:r>
      <w:bookmarkEnd w:id="179"/>
      <w:bookmarkEnd w:id="180"/>
      <w:bookmarkEnd w:id="181"/>
      <w:bookmarkEnd w:id="182"/>
    </w:p>
    <w:p w14:paraId="71336951">
      <w:pPr>
        <w:spacing w:line="360" w:lineRule="auto"/>
        <w:ind w:firstLine="480" w:firstLineChars="200"/>
        <w:rPr>
          <w:rFonts w:ascii="宋体" w:hAnsi="宋体" w:cs="宋体"/>
          <w:bCs/>
          <w:sz w:val="24"/>
        </w:rPr>
      </w:pPr>
      <w:r>
        <w:rPr>
          <w:rFonts w:ascii="宋体" w:hAnsi="宋体" w:cs="宋体"/>
          <w:bCs/>
          <w:sz w:val="24"/>
        </w:rPr>
        <w:t>7.3.1采购人和成交供应商应当自成交通知书发出之日起30天内，根据采购文件和成交供应商的响应文件订立书面合同。成交供应商无正当理由拒签合同的，采购人取消其</w:t>
      </w:r>
      <w:r>
        <w:rPr>
          <w:rFonts w:hint="eastAsia" w:ascii="宋体" w:hAnsi="宋体" w:cs="宋体"/>
          <w:bCs/>
          <w:sz w:val="24"/>
        </w:rPr>
        <w:t>成交资格。</w:t>
      </w:r>
    </w:p>
    <w:p w14:paraId="564CA18E">
      <w:pPr>
        <w:spacing w:line="360" w:lineRule="auto"/>
        <w:ind w:firstLine="480" w:firstLineChars="200"/>
        <w:rPr>
          <w:rFonts w:ascii="宋体" w:hAnsi="宋体" w:cs="宋体"/>
          <w:bCs/>
          <w:sz w:val="24"/>
        </w:rPr>
      </w:pPr>
      <w:r>
        <w:rPr>
          <w:rFonts w:ascii="宋体" w:hAnsi="宋体" w:cs="宋体"/>
          <w:bCs/>
          <w:sz w:val="24"/>
        </w:rPr>
        <w:t xml:space="preserve">7.3.2 </w:t>
      </w:r>
      <w:r>
        <w:rPr>
          <w:rFonts w:hint="eastAsia" w:ascii="宋体" w:hAnsi="宋体" w:cs="宋体"/>
          <w:bCs/>
          <w:sz w:val="24"/>
        </w:rPr>
        <w:t>发出成交通知书后，采购人无正当理由拒签合同的，给成交供应商造成损失的，还应当赔偿损失。</w:t>
      </w:r>
    </w:p>
    <w:p w14:paraId="0E415A65">
      <w:pPr>
        <w:spacing w:line="360" w:lineRule="auto"/>
        <w:outlineLvl w:val="2"/>
        <w:rPr>
          <w:rFonts w:ascii="宋体" w:hAnsi="宋体" w:cs="宋体"/>
          <w:bCs/>
          <w:sz w:val="24"/>
        </w:rPr>
      </w:pPr>
      <w:bookmarkStart w:id="183" w:name="_Toc1092"/>
      <w:bookmarkStart w:id="184" w:name="_Toc144974539"/>
      <w:bookmarkStart w:id="185" w:name="_Toc179632589"/>
      <w:bookmarkStart w:id="186" w:name="_Toc152045571"/>
      <w:bookmarkStart w:id="187" w:name="_Toc152042347"/>
      <w:bookmarkStart w:id="188" w:name="_Toc18349"/>
      <w:bookmarkStart w:id="189" w:name="_Toc8325"/>
      <w:r>
        <w:rPr>
          <w:rFonts w:ascii="宋体" w:hAnsi="宋体" w:cs="宋体"/>
          <w:b/>
          <w:sz w:val="24"/>
        </w:rPr>
        <w:t>8.重新</w:t>
      </w:r>
      <w:bookmarkEnd w:id="183"/>
      <w:bookmarkEnd w:id="184"/>
      <w:bookmarkEnd w:id="185"/>
      <w:bookmarkEnd w:id="186"/>
      <w:bookmarkEnd w:id="187"/>
      <w:bookmarkEnd w:id="188"/>
      <w:r>
        <w:rPr>
          <w:rFonts w:hint="eastAsia" w:ascii="宋体" w:hAnsi="宋体" w:cs="宋体"/>
          <w:b/>
          <w:sz w:val="24"/>
        </w:rPr>
        <w:t>采购</w:t>
      </w:r>
      <w:bookmarkEnd w:id="189"/>
    </w:p>
    <w:p w14:paraId="2C84FE61">
      <w:pPr>
        <w:spacing w:line="360" w:lineRule="auto"/>
        <w:ind w:firstLine="480" w:firstLineChars="200"/>
        <w:rPr>
          <w:rFonts w:ascii="宋体" w:hAnsi="宋体" w:cs="宋体"/>
          <w:bCs/>
          <w:sz w:val="24"/>
        </w:rPr>
      </w:pPr>
      <w:r>
        <w:rPr>
          <w:rFonts w:hint="eastAsia" w:ascii="宋体" w:hAnsi="宋体" w:cs="宋体"/>
          <w:bCs/>
          <w:sz w:val="24"/>
        </w:rPr>
        <w:t>有下列情形之一的，采购人将重新采购：</w:t>
      </w:r>
    </w:p>
    <w:p w14:paraId="074ECCE8">
      <w:pPr>
        <w:spacing w:line="360" w:lineRule="auto"/>
        <w:ind w:firstLine="410" w:firstLineChars="171"/>
        <w:rPr>
          <w:rFonts w:ascii="宋体" w:hAnsi="宋体" w:cs="宋体"/>
          <w:bCs/>
          <w:sz w:val="24"/>
        </w:rPr>
      </w:pPr>
      <w:r>
        <w:rPr>
          <w:rFonts w:hint="eastAsia" w:ascii="宋体" w:hAnsi="宋体" w:cs="宋体"/>
          <w:bCs/>
          <w:sz w:val="24"/>
        </w:rPr>
        <w:t>（</w:t>
      </w:r>
      <w:r>
        <w:rPr>
          <w:rFonts w:ascii="宋体" w:hAnsi="宋体" w:cs="宋体"/>
          <w:bCs/>
          <w:sz w:val="24"/>
        </w:rPr>
        <w:t>1）响应截止时间止，供应商少于3个的；</w:t>
      </w:r>
    </w:p>
    <w:p w14:paraId="46B815D6">
      <w:pPr>
        <w:spacing w:line="360" w:lineRule="auto"/>
        <w:ind w:firstLine="410" w:firstLineChars="171"/>
        <w:rPr>
          <w:rFonts w:ascii="宋体" w:hAnsi="宋体" w:cs="宋体"/>
          <w:bCs/>
          <w:sz w:val="24"/>
        </w:rPr>
      </w:pPr>
      <w:r>
        <w:rPr>
          <w:rFonts w:hint="eastAsia" w:ascii="宋体" w:hAnsi="宋体" w:cs="宋体"/>
          <w:bCs/>
          <w:sz w:val="24"/>
        </w:rPr>
        <w:t>（</w:t>
      </w:r>
      <w:r>
        <w:rPr>
          <w:rFonts w:ascii="宋体" w:hAnsi="宋体" w:cs="宋体"/>
          <w:bCs/>
          <w:sz w:val="24"/>
        </w:rPr>
        <w:t>2）经磋商小组评审后否决所有</w:t>
      </w:r>
      <w:r>
        <w:rPr>
          <w:rFonts w:hint="eastAsia" w:ascii="宋体" w:hAnsi="宋体" w:cs="宋体"/>
          <w:bCs/>
          <w:sz w:val="24"/>
        </w:rPr>
        <w:t>磋商</w:t>
      </w:r>
      <w:r>
        <w:rPr>
          <w:rFonts w:ascii="宋体" w:hAnsi="宋体" w:cs="宋体"/>
          <w:bCs/>
          <w:sz w:val="24"/>
        </w:rPr>
        <w:t>的；</w:t>
      </w:r>
    </w:p>
    <w:p w14:paraId="6F2E321C">
      <w:pPr>
        <w:spacing w:line="360" w:lineRule="auto"/>
        <w:ind w:firstLine="410" w:firstLineChars="171"/>
        <w:rPr>
          <w:rFonts w:ascii="宋体" w:hAnsi="宋体" w:cs="宋体"/>
          <w:bCs/>
          <w:sz w:val="24"/>
        </w:rPr>
      </w:pPr>
      <w:r>
        <w:rPr>
          <w:rFonts w:hint="eastAsia" w:ascii="宋体" w:hAnsi="宋体" w:cs="宋体"/>
          <w:bCs/>
          <w:sz w:val="24"/>
        </w:rPr>
        <w:t>（</w:t>
      </w:r>
      <w:r>
        <w:rPr>
          <w:rFonts w:ascii="宋体" w:hAnsi="宋体" w:cs="宋体"/>
          <w:bCs/>
          <w:sz w:val="24"/>
        </w:rPr>
        <w:t>3）其他依法应当重新</w:t>
      </w:r>
      <w:r>
        <w:rPr>
          <w:rFonts w:hint="eastAsia" w:ascii="宋体" w:hAnsi="宋体" w:cs="宋体"/>
          <w:bCs/>
          <w:sz w:val="24"/>
        </w:rPr>
        <w:t>采购</w:t>
      </w:r>
      <w:r>
        <w:rPr>
          <w:rFonts w:ascii="宋体" w:hAnsi="宋体" w:cs="宋体"/>
          <w:bCs/>
          <w:sz w:val="24"/>
        </w:rPr>
        <w:t>的情形。</w:t>
      </w:r>
    </w:p>
    <w:p w14:paraId="1FBF74EC">
      <w:pPr>
        <w:spacing w:line="360" w:lineRule="auto"/>
        <w:outlineLvl w:val="2"/>
        <w:rPr>
          <w:rFonts w:ascii="宋体" w:hAnsi="宋体" w:cs="宋体"/>
          <w:b/>
          <w:sz w:val="24"/>
        </w:rPr>
      </w:pPr>
      <w:bookmarkStart w:id="190" w:name="_Toc22633"/>
      <w:r>
        <w:rPr>
          <w:rFonts w:ascii="宋体" w:hAnsi="宋体" w:cs="宋体"/>
          <w:b/>
          <w:sz w:val="24"/>
        </w:rPr>
        <w:t>9.纪律和监督</w:t>
      </w:r>
      <w:bookmarkEnd w:id="190"/>
    </w:p>
    <w:p w14:paraId="62D6A4E9">
      <w:pPr>
        <w:pStyle w:val="113"/>
        <w:numPr>
          <w:ilvl w:val="0"/>
          <w:numId w:val="0"/>
        </w:numPr>
        <w:spacing w:line="360" w:lineRule="auto"/>
        <w:outlineLvl w:val="9"/>
        <w:rPr>
          <w:rFonts w:eastAsia="宋体"/>
          <w:b/>
          <w:szCs w:val="24"/>
        </w:rPr>
      </w:pPr>
      <w:bookmarkStart w:id="191" w:name="_Toc144974543"/>
      <w:bookmarkStart w:id="192" w:name="_Toc152045575"/>
      <w:bookmarkStart w:id="193" w:name="_Toc152042351"/>
      <w:bookmarkStart w:id="194" w:name="_Toc179632593"/>
      <w:r>
        <w:rPr>
          <w:rFonts w:eastAsia="宋体"/>
          <w:b/>
          <w:szCs w:val="24"/>
        </w:rPr>
        <w:t xml:space="preserve">9.1 </w:t>
      </w:r>
      <w:r>
        <w:rPr>
          <w:rFonts w:hint="eastAsia" w:eastAsia="宋体"/>
          <w:b/>
          <w:szCs w:val="24"/>
        </w:rPr>
        <w:t>对采购人的纪律要求</w:t>
      </w:r>
      <w:bookmarkEnd w:id="191"/>
      <w:bookmarkEnd w:id="192"/>
      <w:bookmarkEnd w:id="193"/>
      <w:bookmarkEnd w:id="194"/>
    </w:p>
    <w:p w14:paraId="267076FA">
      <w:pPr>
        <w:spacing w:line="360" w:lineRule="auto"/>
        <w:ind w:firstLine="480" w:firstLineChars="200"/>
        <w:rPr>
          <w:rFonts w:ascii="宋体" w:hAnsi="宋体" w:cs="宋体"/>
          <w:bCs/>
          <w:sz w:val="24"/>
        </w:rPr>
      </w:pPr>
      <w:r>
        <w:rPr>
          <w:rFonts w:hint="eastAsia" w:ascii="宋体" w:hAnsi="宋体" w:cs="宋体"/>
          <w:bCs/>
          <w:sz w:val="24"/>
        </w:rPr>
        <w:t>采购人不得泄漏采购活动中应当保密的情况和资料，不得与供应商串通损害国家利益、社会公共利益或者他人合法权益。</w:t>
      </w:r>
    </w:p>
    <w:p w14:paraId="22605A1D">
      <w:pPr>
        <w:pStyle w:val="113"/>
        <w:numPr>
          <w:ilvl w:val="0"/>
          <w:numId w:val="0"/>
        </w:numPr>
        <w:spacing w:line="360" w:lineRule="auto"/>
        <w:outlineLvl w:val="9"/>
        <w:rPr>
          <w:rFonts w:eastAsia="宋体"/>
          <w:b/>
          <w:szCs w:val="24"/>
        </w:rPr>
      </w:pPr>
      <w:bookmarkStart w:id="195" w:name="_Toc179632594"/>
      <w:bookmarkStart w:id="196" w:name="_Toc152042352"/>
      <w:bookmarkStart w:id="197" w:name="_Toc152045576"/>
      <w:bookmarkStart w:id="198" w:name="_Toc144974544"/>
      <w:r>
        <w:rPr>
          <w:rFonts w:eastAsia="宋体"/>
          <w:b/>
          <w:szCs w:val="24"/>
        </w:rPr>
        <w:t xml:space="preserve">9.2 </w:t>
      </w:r>
      <w:r>
        <w:rPr>
          <w:rFonts w:hint="eastAsia" w:eastAsia="宋体"/>
          <w:b/>
          <w:szCs w:val="24"/>
        </w:rPr>
        <w:t>对供应商的纪律要求</w:t>
      </w:r>
      <w:bookmarkEnd w:id="195"/>
      <w:bookmarkEnd w:id="196"/>
      <w:bookmarkEnd w:id="197"/>
      <w:bookmarkEnd w:id="198"/>
    </w:p>
    <w:p w14:paraId="620430E5">
      <w:pPr>
        <w:spacing w:line="360" w:lineRule="auto"/>
        <w:ind w:firstLine="480" w:firstLineChars="200"/>
        <w:rPr>
          <w:rFonts w:ascii="宋体" w:hAnsi="宋体" w:cs="宋体"/>
          <w:bCs/>
          <w:sz w:val="24"/>
        </w:rPr>
      </w:pPr>
      <w:r>
        <w:rPr>
          <w:rFonts w:hint="eastAsia" w:ascii="宋体" w:hAnsi="宋体" w:cs="宋体"/>
          <w:bCs/>
          <w:sz w:val="24"/>
        </w:rPr>
        <w:t>供应商不得相互串通磋商采购或者与采购人串通磋商采购，不得向采购人或者磋商小组成员行贿谋取成交，不得以他人名义响应磋商或者以其他方式弄虚作假骗取成交；供应商不得以任何方式干扰、影响评标工作。如供应商存在围标、串标、以他人名义磋商、弄虚作假、恶意投诉、虚假投诉等行为的、经查证属实的，其提交的磋商保证金不予退还，并记入诚信档案，一定期限内不得参与建设工程招磋商活动。</w:t>
      </w:r>
    </w:p>
    <w:p w14:paraId="36B05C76">
      <w:pPr>
        <w:pStyle w:val="113"/>
        <w:numPr>
          <w:ilvl w:val="0"/>
          <w:numId w:val="0"/>
        </w:numPr>
        <w:spacing w:line="360" w:lineRule="auto"/>
        <w:outlineLvl w:val="9"/>
        <w:rPr>
          <w:rFonts w:eastAsia="宋体"/>
          <w:b/>
          <w:szCs w:val="24"/>
        </w:rPr>
      </w:pPr>
      <w:r>
        <w:rPr>
          <w:rFonts w:eastAsia="宋体"/>
          <w:b/>
          <w:szCs w:val="24"/>
        </w:rPr>
        <w:t xml:space="preserve">9.3 </w:t>
      </w:r>
      <w:r>
        <w:rPr>
          <w:rFonts w:hint="eastAsia" w:eastAsia="宋体"/>
          <w:b/>
          <w:szCs w:val="24"/>
        </w:rPr>
        <w:t>对磋商小组成员的纪律要求</w:t>
      </w:r>
    </w:p>
    <w:p w14:paraId="46D907E3">
      <w:pPr>
        <w:spacing w:line="360" w:lineRule="auto"/>
        <w:ind w:firstLine="480" w:firstLineChars="200"/>
        <w:rPr>
          <w:rFonts w:ascii="宋体" w:hAnsi="宋体" w:cs="宋体"/>
          <w:bCs/>
          <w:sz w:val="24"/>
        </w:rPr>
      </w:pPr>
      <w:r>
        <w:rPr>
          <w:rFonts w:hint="eastAsia" w:ascii="宋体" w:hAnsi="宋体" w:cs="宋体"/>
          <w:bCs/>
          <w:sz w:val="24"/>
        </w:rPr>
        <w:t>磋商小组成员不得收受他人的财物或者其他好处，不得向他人透漏对响应文件的评审和比较、成交候选供应商的推荐情况以及评标有关的其他情况。在评标活动中，磋商小组成员不得擅离职守，影响评标程序正常进行，不得使用第三章“评标办法”没有规定的评审因素和标准进行评标。</w:t>
      </w:r>
    </w:p>
    <w:p w14:paraId="5BF2B27B">
      <w:pPr>
        <w:pStyle w:val="113"/>
        <w:numPr>
          <w:ilvl w:val="0"/>
          <w:numId w:val="0"/>
        </w:numPr>
        <w:spacing w:line="360" w:lineRule="auto"/>
        <w:outlineLvl w:val="9"/>
        <w:rPr>
          <w:rFonts w:eastAsia="宋体"/>
          <w:b/>
          <w:szCs w:val="24"/>
        </w:rPr>
      </w:pPr>
      <w:bookmarkStart w:id="199" w:name="_Toc152042354"/>
      <w:bookmarkStart w:id="200" w:name="_Toc179632596"/>
      <w:bookmarkStart w:id="201" w:name="_Toc152045578"/>
      <w:r>
        <w:rPr>
          <w:rFonts w:eastAsia="宋体"/>
          <w:b/>
          <w:szCs w:val="24"/>
        </w:rPr>
        <w:t xml:space="preserve">9.4 </w:t>
      </w:r>
      <w:r>
        <w:rPr>
          <w:rFonts w:hint="eastAsia" w:eastAsia="宋体"/>
          <w:b/>
          <w:szCs w:val="24"/>
        </w:rPr>
        <w:t>对与评标活动有关的工作人员的纪律要求</w:t>
      </w:r>
      <w:bookmarkEnd w:id="199"/>
      <w:bookmarkEnd w:id="200"/>
      <w:bookmarkEnd w:id="201"/>
    </w:p>
    <w:p w14:paraId="5B4A55EB">
      <w:pPr>
        <w:spacing w:line="360" w:lineRule="auto"/>
        <w:ind w:firstLine="480" w:firstLineChars="200"/>
        <w:rPr>
          <w:rFonts w:ascii="宋体" w:hAnsi="宋体" w:cs="宋体"/>
          <w:bCs/>
          <w:sz w:val="24"/>
        </w:rPr>
      </w:pPr>
      <w:bookmarkStart w:id="202" w:name="_Toc152042355"/>
      <w:r>
        <w:rPr>
          <w:rFonts w:hint="eastAsia" w:ascii="宋体" w:hAnsi="宋体" w:cs="宋体"/>
          <w:bCs/>
          <w:sz w:val="24"/>
        </w:rPr>
        <w:t>与评标活动有关的工作人员不得收受他人的财物或者其他好处，不得向他人透漏对响应文件的评审和比较、成交候选供应商的推荐情况以及评标有关的其他情况。在评标活动中，与评标活动有关的工作人员不得擅离职守，影响评标程序正常进行。</w:t>
      </w:r>
      <w:bookmarkEnd w:id="202"/>
    </w:p>
    <w:p w14:paraId="24E2FE4A">
      <w:pPr>
        <w:pStyle w:val="113"/>
        <w:numPr>
          <w:ilvl w:val="0"/>
          <w:numId w:val="0"/>
        </w:numPr>
        <w:spacing w:line="360" w:lineRule="auto"/>
        <w:outlineLvl w:val="9"/>
        <w:rPr>
          <w:rFonts w:eastAsia="宋体"/>
          <w:b/>
          <w:szCs w:val="24"/>
        </w:rPr>
      </w:pPr>
      <w:r>
        <w:rPr>
          <w:rFonts w:eastAsia="宋体"/>
          <w:b/>
          <w:szCs w:val="24"/>
        </w:rPr>
        <w:t>9.5</w:t>
      </w:r>
      <w:r>
        <w:rPr>
          <w:rFonts w:hint="eastAsia" w:eastAsia="宋体"/>
          <w:b/>
          <w:szCs w:val="24"/>
        </w:rPr>
        <w:t>质疑、投诉</w:t>
      </w:r>
    </w:p>
    <w:p w14:paraId="634C68E4">
      <w:pPr>
        <w:spacing w:line="360" w:lineRule="auto"/>
        <w:ind w:firstLine="480" w:firstLineChars="200"/>
        <w:rPr>
          <w:rFonts w:ascii="宋体" w:hAnsi="宋体" w:cs="宋体"/>
          <w:bCs/>
          <w:sz w:val="24"/>
        </w:rPr>
      </w:pPr>
      <w:r>
        <w:rPr>
          <w:rFonts w:hint="eastAsia" w:ascii="宋体" w:hAnsi="宋体" w:cs="宋体"/>
          <w:bCs/>
          <w:sz w:val="24"/>
        </w:rPr>
        <w:t>供应商和其他利害关系人认为采购活动不符合法律、行政法规和规章规定的</w:t>
      </w:r>
      <w:r>
        <w:rPr>
          <w:rFonts w:ascii="宋体" w:hAnsi="宋体" w:cs="宋体"/>
          <w:bCs/>
          <w:sz w:val="24"/>
        </w:rPr>
        <w:t>,可按照相关规定向采购人提出</w:t>
      </w:r>
      <w:r>
        <w:rPr>
          <w:rFonts w:hint="eastAsia" w:ascii="宋体" w:hAnsi="宋体" w:cs="宋体"/>
          <w:bCs/>
          <w:sz w:val="24"/>
        </w:rPr>
        <w:t>质疑或向有关行政监督部门投诉。</w:t>
      </w:r>
    </w:p>
    <w:p w14:paraId="45F86079">
      <w:pPr>
        <w:pStyle w:val="113"/>
        <w:numPr>
          <w:ilvl w:val="0"/>
          <w:numId w:val="0"/>
        </w:numPr>
        <w:spacing w:line="360" w:lineRule="auto"/>
        <w:rPr>
          <w:rFonts w:eastAsia="宋体"/>
          <w:b/>
          <w:szCs w:val="24"/>
        </w:rPr>
      </w:pPr>
      <w:bookmarkStart w:id="203" w:name="_Toc152042357"/>
      <w:bookmarkStart w:id="204" w:name="_Toc179632598"/>
      <w:bookmarkStart w:id="205" w:name="_Toc26312"/>
      <w:bookmarkStart w:id="206" w:name="_Toc152045580"/>
      <w:bookmarkStart w:id="207" w:name="_Toc144974547"/>
      <w:r>
        <w:rPr>
          <w:rFonts w:eastAsia="宋体"/>
          <w:b/>
          <w:szCs w:val="24"/>
        </w:rPr>
        <w:t>10.需要补充的其他内容</w:t>
      </w:r>
      <w:bookmarkEnd w:id="203"/>
      <w:bookmarkEnd w:id="204"/>
      <w:bookmarkEnd w:id="205"/>
      <w:bookmarkEnd w:id="206"/>
      <w:bookmarkEnd w:id="207"/>
    </w:p>
    <w:p w14:paraId="6C615469">
      <w:pPr>
        <w:spacing w:line="360" w:lineRule="auto"/>
        <w:ind w:firstLine="480" w:firstLineChars="200"/>
        <w:rPr>
          <w:rFonts w:ascii="宋体" w:hAnsi="宋体" w:cs="宋体"/>
          <w:bCs/>
          <w:sz w:val="24"/>
        </w:rPr>
      </w:pPr>
      <w:r>
        <w:rPr>
          <w:rFonts w:hint="eastAsia" w:ascii="宋体" w:hAnsi="宋体" w:cs="宋体"/>
          <w:bCs/>
          <w:sz w:val="24"/>
        </w:rPr>
        <w:t>需要补充的其他内容：见竞争性磋商须知前附表。</w:t>
      </w:r>
    </w:p>
    <w:p w14:paraId="777BB010">
      <w:pPr>
        <w:pStyle w:val="125"/>
        <w:spacing w:before="0" w:line="360" w:lineRule="auto"/>
        <w:outlineLvl w:val="2"/>
        <w:rPr>
          <w:rFonts w:ascii="宋体" w:hAnsi="宋体"/>
          <w:b/>
          <w:sz w:val="24"/>
          <w:szCs w:val="24"/>
        </w:rPr>
      </w:pPr>
      <w:bookmarkStart w:id="208" w:name="_Toc2103"/>
      <w:r>
        <w:rPr>
          <w:rFonts w:ascii="宋体" w:hAnsi="宋体"/>
          <w:b/>
          <w:sz w:val="24"/>
          <w:szCs w:val="24"/>
        </w:rPr>
        <w:t>11.本采购文件解释权</w:t>
      </w:r>
      <w:bookmarkEnd w:id="208"/>
    </w:p>
    <w:p w14:paraId="4740E359">
      <w:pPr>
        <w:spacing w:line="360" w:lineRule="auto"/>
        <w:ind w:firstLine="480" w:firstLineChars="200"/>
        <w:rPr>
          <w:rFonts w:ascii="宋体" w:hAnsi="宋体" w:cs="宋体"/>
          <w:kern w:val="0"/>
        </w:rPr>
      </w:pPr>
      <w:bookmarkStart w:id="209" w:name="_Toc368985336"/>
      <w:r>
        <w:rPr>
          <w:rFonts w:hint="eastAsia" w:ascii="宋体" w:hAnsi="宋体" w:cs="宋体"/>
          <w:bCs/>
          <w:sz w:val="24"/>
        </w:rPr>
        <w:t>本采购文件解释权归采购人所有。</w:t>
      </w:r>
      <w:bookmarkEnd w:id="209"/>
    </w:p>
    <w:p w14:paraId="3B1404C0">
      <w:pPr>
        <w:jc w:val="center"/>
        <w:outlineLvl w:val="0"/>
        <w:rPr>
          <w:rStyle w:val="95"/>
          <w:rFonts w:ascii="宋体" w:hAnsi="宋体" w:cs="宋体"/>
          <w:sz w:val="28"/>
          <w:szCs w:val="28"/>
        </w:rPr>
      </w:pPr>
      <w:r>
        <w:br w:type="page"/>
      </w:r>
      <w:bookmarkStart w:id="210" w:name="_Toc12852"/>
      <w:bookmarkStart w:id="211" w:name="_Toc467278592"/>
      <w:r>
        <w:rPr>
          <w:rStyle w:val="95"/>
          <w:rFonts w:hint="eastAsia" w:ascii="宋体" w:hAnsi="宋体" w:cs="宋体"/>
          <w:sz w:val="28"/>
          <w:szCs w:val="28"/>
        </w:rPr>
        <w:t>第三章</w:t>
      </w:r>
      <w:r>
        <w:rPr>
          <w:rStyle w:val="95"/>
          <w:rFonts w:ascii="宋体" w:hAnsi="宋体" w:cs="宋体"/>
          <w:sz w:val="28"/>
          <w:szCs w:val="28"/>
        </w:rPr>
        <w:t xml:space="preserve"> </w:t>
      </w:r>
      <w:r>
        <w:rPr>
          <w:rStyle w:val="95"/>
          <w:rFonts w:hint="eastAsia" w:ascii="宋体" w:hAnsi="宋体" w:cs="宋体"/>
          <w:sz w:val="28"/>
          <w:szCs w:val="28"/>
        </w:rPr>
        <w:t>评标办法（综合评分法）</w:t>
      </w:r>
      <w:bookmarkEnd w:id="210"/>
      <w:bookmarkEnd w:id="211"/>
    </w:p>
    <w:p w14:paraId="48D37F1C">
      <w:pPr>
        <w:pStyle w:val="140"/>
        <w:ind w:firstLine="0" w:firstLineChars="0"/>
        <w:jc w:val="center"/>
        <w:outlineLvl w:val="1"/>
        <w:rPr>
          <w:rFonts w:ascii="宋体" w:hAnsi="宋体" w:cs="宋体"/>
          <w:b/>
        </w:rPr>
      </w:pPr>
      <w:bookmarkStart w:id="212" w:name="_Toc28045"/>
      <w:r>
        <w:rPr>
          <w:rFonts w:hint="eastAsia" w:ascii="宋体" w:hAnsi="宋体" w:cs="宋体"/>
          <w:b/>
        </w:rPr>
        <w:t>资格、符合性评审条款</w:t>
      </w:r>
      <w:bookmarkEnd w:id="212"/>
    </w:p>
    <w:p w14:paraId="037E6B94">
      <w:pPr>
        <w:jc w:val="center"/>
        <w:rPr>
          <w:b/>
          <w:bCs/>
        </w:rPr>
      </w:pPr>
      <w:r>
        <w:rPr>
          <w:rFonts w:hint="eastAsia"/>
          <w:b/>
          <w:bCs/>
        </w:rPr>
        <w:t>（凡违反下列情形之一的，响应文件无效，作无效响应处理）</w:t>
      </w:r>
    </w:p>
    <w:tbl>
      <w:tblPr>
        <w:tblStyle w:val="50"/>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7635"/>
      </w:tblGrid>
      <w:tr w14:paraId="0CFF4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00" w:type="dxa"/>
            <w:gridSpan w:val="2"/>
            <w:vAlign w:val="center"/>
          </w:tcPr>
          <w:p w14:paraId="11AD37C6">
            <w:pPr>
              <w:widowControl/>
              <w:shd w:val="clear" w:color="auto" w:fill="FFFFFF"/>
              <w:jc w:val="center"/>
              <w:rPr>
                <w:rFonts w:ascii="宋体" w:hAnsi="宋体" w:cs="宋体"/>
                <w:b/>
                <w:kern w:val="0"/>
                <w:szCs w:val="21"/>
              </w:rPr>
            </w:pPr>
            <w:r>
              <w:rPr>
                <w:rFonts w:hint="eastAsia" w:ascii="宋体" w:hAnsi="宋体" w:cs="宋体"/>
                <w:b/>
                <w:kern w:val="0"/>
                <w:szCs w:val="21"/>
              </w:rPr>
              <w:t>一、资格性审查指引</w:t>
            </w:r>
          </w:p>
        </w:tc>
      </w:tr>
      <w:tr w14:paraId="65C92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5" w:type="dxa"/>
            <w:vAlign w:val="center"/>
          </w:tcPr>
          <w:p w14:paraId="7D4E6734">
            <w:pPr>
              <w:widowControl/>
              <w:shd w:val="clear" w:color="auto" w:fill="FFFFFF"/>
              <w:jc w:val="center"/>
              <w:rPr>
                <w:rFonts w:ascii="宋体" w:hAnsi="宋体" w:cs="宋体"/>
                <w:b/>
                <w:kern w:val="0"/>
                <w:szCs w:val="21"/>
              </w:rPr>
            </w:pPr>
            <w:r>
              <w:rPr>
                <w:rFonts w:hint="eastAsia" w:ascii="宋体" w:hAnsi="宋体" w:cs="宋体"/>
                <w:b/>
                <w:kern w:val="0"/>
                <w:szCs w:val="21"/>
              </w:rPr>
              <w:t>序号</w:t>
            </w:r>
          </w:p>
        </w:tc>
        <w:tc>
          <w:tcPr>
            <w:tcW w:w="7635" w:type="dxa"/>
            <w:vAlign w:val="center"/>
          </w:tcPr>
          <w:p w14:paraId="3EC1D911">
            <w:pPr>
              <w:widowControl/>
              <w:shd w:val="clear" w:color="auto" w:fill="FFFFFF"/>
              <w:jc w:val="center"/>
              <w:rPr>
                <w:rFonts w:ascii="宋体" w:hAnsi="宋体" w:cs="宋体"/>
                <w:b/>
                <w:kern w:val="0"/>
                <w:szCs w:val="21"/>
              </w:rPr>
            </w:pPr>
            <w:r>
              <w:rPr>
                <w:rFonts w:hint="eastAsia" w:ascii="宋体" w:hAnsi="宋体" w:cs="宋体"/>
                <w:b/>
                <w:kern w:val="0"/>
                <w:szCs w:val="21"/>
              </w:rPr>
              <w:t>资格性检查项目</w:t>
            </w:r>
          </w:p>
        </w:tc>
      </w:tr>
      <w:tr w14:paraId="60007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5" w:type="dxa"/>
            <w:vAlign w:val="center"/>
          </w:tcPr>
          <w:p w14:paraId="7362417F">
            <w:pPr>
              <w:widowControl/>
              <w:shd w:val="clear" w:color="auto" w:fill="FFFFFF"/>
              <w:jc w:val="center"/>
              <w:rPr>
                <w:rFonts w:ascii="宋体" w:hAnsi="宋体" w:cs="宋体"/>
                <w:b/>
                <w:kern w:val="0"/>
                <w:szCs w:val="21"/>
              </w:rPr>
            </w:pPr>
            <w:r>
              <w:rPr>
                <w:rFonts w:hint="eastAsia" w:ascii="宋体" w:hAnsi="宋体" w:cs="宋体"/>
                <w:b/>
                <w:kern w:val="0"/>
                <w:szCs w:val="21"/>
              </w:rPr>
              <w:t>1</w:t>
            </w:r>
          </w:p>
        </w:tc>
        <w:tc>
          <w:tcPr>
            <w:tcW w:w="7635" w:type="dxa"/>
            <w:vAlign w:val="center"/>
          </w:tcPr>
          <w:p w14:paraId="05925638">
            <w:pPr>
              <w:widowControl/>
              <w:shd w:val="clear" w:color="auto" w:fill="FFFFFF"/>
              <w:jc w:val="left"/>
              <w:rPr>
                <w:rFonts w:ascii="宋体" w:hAnsi="宋体" w:cs="宋体"/>
                <w:b/>
                <w:kern w:val="0"/>
                <w:szCs w:val="21"/>
              </w:rPr>
            </w:pPr>
            <w:r>
              <w:rPr>
                <w:rFonts w:hint="eastAsia" w:ascii="宋体" w:hAnsi="宋体" w:cs="宋体"/>
                <w:szCs w:val="21"/>
              </w:rPr>
              <w:t>供应商不具备申请人资格要求，并未提交相应资质证明材料；</w:t>
            </w:r>
          </w:p>
        </w:tc>
      </w:tr>
      <w:tr w14:paraId="5253D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00" w:type="dxa"/>
            <w:gridSpan w:val="2"/>
            <w:vAlign w:val="center"/>
          </w:tcPr>
          <w:p w14:paraId="6E0D8284">
            <w:pPr>
              <w:widowControl/>
              <w:shd w:val="clear" w:color="auto" w:fill="FFFFFF"/>
              <w:ind w:firstLine="422"/>
              <w:jc w:val="center"/>
              <w:rPr>
                <w:rFonts w:ascii="宋体" w:hAnsi="宋体" w:cs="宋体"/>
                <w:b/>
                <w:szCs w:val="21"/>
              </w:rPr>
            </w:pPr>
            <w:r>
              <w:rPr>
                <w:rFonts w:hint="eastAsia" w:ascii="宋体" w:hAnsi="宋体" w:cs="宋体"/>
                <w:b/>
                <w:kern w:val="0"/>
                <w:szCs w:val="21"/>
              </w:rPr>
              <w:t>二、符合性审查指引</w:t>
            </w:r>
          </w:p>
        </w:tc>
      </w:tr>
      <w:tr w14:paraId="7BEC6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5" w:type="dxa"/>
            <w:vAlign w:val="center"/>
          </w:tcPr>
          <w:p w14:paraId="299BF855">
            <w:pPr>
              <w:widowControl/>
              <w:shd w:val="clear" w:color="auto" w:fill="FFFFFF"/>
              <w:jc w:val="center"/>
              <w:rPr>
                <w:rFonts w:ascii="宋体" w:hAnsi="宋体" w:cs="宋体"/>
                <w:b/>
                <w:szCs w:val="21"/>
              </w:rPr>
            </w:pPr>
            <w:r>
              <w:rPr>
                <w:rFonts w:hint="eastAsia" w:ascii="宋体" w:hAnsi="宋体" w:cs="宋体"/>
                <w:b/>
                <w:kern w:val="0"/>
                <w:szCs w:val="21"/>
              </w:rPr>
              <w:t>序号</w:t>
            </w:r>
          </w:p>
        </w:tc>
        <w:tc>
          <w:tcPr>
            <w:tcW w:w="7635" w:type="dxa"/>
            <w:vAlign w:val="center"/>
          </w:tcPr>
          <w:p w14:paraId="24E6D6B4">
            <w:pPr>
              <w:widowControl/>
              <w:shd w:val="clear" w:color="auto" w:fill="FFFFFF"/>
              <w:jc w:val="center"/>
              <w:rPr>
                <w:rFonts w:ascii="宋体" w:hAnsi="宋体" w:cs="宋体"/>
                <w:b/>
                <w:szCs w:val="21"/>
              </w:rPr>
            </w:pPr>
            <w:r>
              <w:rPr>
                <w:rFonts w:hint="eastAsia" w:ascii="宋体" w:hAnsi="宋体" w:cs="宋体"/>
                <w:b/>
                <w:kern w:val="0"/>
                <w:szCs w:val="21"/>
              </w:rPr>
              <w:t>符合性审查项目</w:t>
            </w:r>
          </w:p>
        </w:tc>
      </w:tr>
      <w:tr w14:paraId="08B13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5" w:type="dxa"/>
            <w:vAlign w:val="center"/>
          </w:tcPr>
          <w:p w14:paraId="64F322F8">
            <w:pPr>
              <w:jc w:val="center"/>
              <w:rPr>
                <w:rFonts w:ascii="宋体" w:hAnsi="宋体" w:cs="宋体"/>
                <w:szCs w:val="21"/>
              </w:rPr>
            </w:pPr>
            <w:r>
              <w:rPr>
                <w:rFonts w:hint="eastAsia" w:ascii="宋体" w:hAnsi="宋体" w:cs="宋体"/>
                <w:kern w:val="0"/>
                <w:szCs w:val="21"/>
              </w:rPr>
              <w:t>1</w:t>
            </w:r>
          </w:p>
        </w:tc>
        <w:tc>
          <w:tcPr>
            <w:tcW w:w="7635" w:type="dxa"/>
            <w:vAlign w:val="center"/>
          </w:tcPr>
          <w:p w14:paraId="008A88B1">
            <w:pPr>
              <w:widowControl/>
              <w:shd w:val="clear" w:color="auto" w:fill="FFFFFF"/>
              <w:jc w:val="left"/>
              <w:rPr>
                <w:rFonts w:ascii="宋体" w:hAnsi="宋体" w:cs="宋体"/>
                <w:kern w:val="0"/>
                <w:szCs w:val="21"/>
              </w:rPr>
            </w:pPr>
            <w:r>
              <w:rPr>
                <w:rFonts w:hint="eastAsia" w:ascii="宋体" w:hAnsi="宋体" w:cs="宋体"/>
                <w:kern w:val="0"/>
                <w:szCs w:val="21"/>
              </w:rPr>
              <w:t>现将一个包或一个包的内容拆开响应；</w:t>
            </w:r>
          </w:p>
        </w:tc>
      </w:tr>
      <w:tr w14:paraId="0CA34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5" w:type="dxa"/>
            <w:vAlign w:val="center"/>
          </w:tcPr>
          <w:p w14:paraId="092DD545">
            <w:pPr>
              <w:jc w:val="center"/>
              <w:rPr>
                <w:rFonts w:ascii="宋体" w:hAnsi="宋体" w:cs="宋体"/>
                <w:szCs w:val="21"/>
              </w:rPr>
            </w:pPr>
            <w:r>
              <w:rPr>
                <w:rFonts w:hint="eastAsia" w:ascii="宋体" w:hAnsi="宋体" w:cs="宋体"/>
                <w:kern w:val="0"/>
                <w:szCs w:val="21"/>
              </w:rPr>
              <w:t>2</w:t>
            </w:r>
          </w:p>
        </w:tc>
        <w:tc>
          <w:tcPr>
            <w:tcW w:w="7635" w:type="dxa"/>
            <w:vAlign w:val="center"/>
          </w:tcPr>
          <w:p w14:paraId="2F40B849">
            <w:pPr>
              <w:widowControl/>
              <w:shd w:val="clear" w:color="auto" w:fill="FFFFFF"/>
              <w:jc w:val="left"/>
              <w:rPr>
                <w:rFonts w:ascii="宋体" w:hAnsi="宋体" w:cs="宋体"/>
                <w:kern w:val="0"/>
                <w:szCs w:val="21"/>
              </w:rPr>
            </w:pPr>
            <w:r>
              <w:rPr>
                <w:rFonts w:hint="eastAsia" w:ascii="宋体" w:hAnsi="宋体" w:cs="宋体"/>
                <w:kern w:val="0"/>
                <w:szCs w:val="21"/>
              </w:rPr>
              <w:t>响应文件及开标一览表未按规定密封、签字、盖章</w:t>
            </w:r>
          </w:p>
        </w:tc>
      </w:tr>
      <w:tr w14:paraId="552BC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5" w:type="dxa"/>
            <w:vAlign w:val="center"/>
          </w:tcPr>
          <w:p w14:paraId="2FB626C9">
            <w:pPr>
              <w:jc w:val="center"/>
              <w:rPr>
                <w:rFonts w:ascii="宋体" w:hAnsi="宋体" w:cs="宋体"/>
                <w:szCs w:val="21"/>
              </w:rPr>
            </w:pPr>
            <w:r>
              <w:rPr>
                <w:rFonts w:hint="eastAsia" w:ascii="宋体" w:hAnsi="宋体" w:cs="宋体"/>
                <w:kern w:val="0"/>
                <w:szCs w:val="21"/>
              </w:rPr>
              <w:t>3</w:t>
            </w:r>
          </w:p>
        </w:tc>
        <w:tc>
          <w:tcPr>
            <w:tcW w:w="7635" w:type="dxa"/>
            <w:vAlign w:val="center"/>
          </w:tcPr>
          <w:p w14:paraId="32E64193">
            <w:pPr>
              <w:widowControl/>
              <w:shd w:val="clear" w:color="auto" w:fill="FFFFFF"/>
              <w:jc w:val="left"/>
              <w:rPr>
                <w:rFonts w:ascii="宋体" w:hAnsi="宋体" w:cs="宋体"/>
                <w:kern w:val="0"/>
                <w:szCs w:val="21"/>
              </w:rPr>
            </w:pPr>
            <w:r>
              <w:rPr>
                <w:rFonts w:hint="eastAsia" w:ascii="宋体" w:hAnsi="宋体" w:cs="宋体"/>
                <w:kern w:val="0"/>
                <w:szCs w:val="21"/>
              </w:rPr>
              <w:t>除采购文件规定允许有替代方案外，对同一项目响应时，提供两套或两套以上的响应方案；</w:t>
            </w:r>
          </w:p>
        </w:tc>
      </w:tr>
      <w:tr w14:paraId="4A2C0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865" w:type="dxa"/>
            <w:vAlign w:val="center"/>
          </w:tcPr>
          <w:p w14:paraId="712AFE84">
            <w:pPr>
              <w:jc w:val="center"/>
              <w:rPr>
                <w:rFonts w:ascii="宋体" w:hAnsi="宋体" w:cs="宋体"/>
                <w:szCs w:val="21"/>
              </w:rPr>
            </w:pPr>
            <w:r>
              <w:rPr>
                <w:rFonts w:hint="eastAsia" w:ascii="宋体" w:hAnsi="宋体" w:cs="宋体"/>
                <w:kern w:val="0"/>
                <w:szCs w:val="21"/>
              </w:rPr>
              <w:t>4</w:t>
            </w:r>
          </w:p>
        </w:tc>
        <w:tc>
          <w:tcPr>
            <w:tcW w:w="7635" w:type="dxa"/>
            <w:vAlign w:val="center"/>
          </w:tcPr>
          <w:p w14:paraId="4A6A2EAC">
            <w:pPr>
              <w:widowControl/>
              <w:shd w:val="clear" w:color="auto" w:fill="FFFFFF"/>
              <w:jc w:val="left"/>
              <w:rPr>
                <w:rFonts w:ascii="宋体" w:hAnsi="宋体" w:cs="宋体"/>
                <w:kern w:val="0"/>
                <w:szCs w:val="21"/>
              </w:rPr>
            </w:pPr>
            <w:r>
              <w:rPr>
                <w:rFonts w:hint="eastAsia" w:ascii="宋体" w:hAnsi="宋体" w:cs="宋体"/>
                <w:kern w:val="0"/>
                <w:szCs w:val="21"/>
              </w:rPr>
              <w:t>未按采购文件所提供的样式填写《磋商函》；未按采购文件所提供的《政府采购及履约承诺函》进行承诺；</w:t>
            </w:r>
          </w:p>
        </w:tc>
      </w:tr>
      <w:tr w14:paraId="73A90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865" w:type="dxa"/>
            <w:vAlign w:val="center"/>
          </w:tcPr>
          <w:p w14:paraId="7B1ED74E">
            <w:pPr>
              <w:jc w:val="center"/>
              <w:rPr>
                <w:rFonts w:ascii="宋体" w:hAnsi="宋体" w:cs="宋体"/>
                <w:szCs w:val="21"/>
              </w:rPr>
            </w:pPr>
            <w:r>
              <w:rPr>
                <w:rFonts w:hint="eastAsia" w:ascii="宋体" w:hAnsi="宋体" w:cs="宋体"/>
                <w:kern w:val="0"/>
                <w:szCs w:val="21"/>
              </w:rPr>
              <w:t>5</w:t>
            </w:r>
          </w:p>
        </w:tc>
        <w:tc>
          <w:tcPr>
            <w:tcW w:w="7635" w:type="dxa"/>
            <w:vAlign w:val="center"/>
          </w:tcPr>
          <w:p w14:paraId="365C7E6A">
            <w:pPr>
              <w:widowControl/>
              <w:shd w:val="clear" w:color="auto" w:fill="FFFFFF"/>
              <w:jc w:val="left"/>
              <w:rPr>
                <w:rFonts w:ascii="宋体" w:hAnsi="宋体" w:cs="宋体"/>
                <w:kern w:val="0"/>
                <w:szCs w:val="21"/>
              </w:rPr>
            </w:pPr>
            <w:r>
              <w:rPr>
                <w:rFonts w:hint="eastAsia" w:ascii="宋体" w:hAnsi="宋体" w:cs="宋体"/>
                <w:kern w:val="0"/>
                <w:szCs w:val="21"/>
              </w:rPr>
              <w:t>未按照采购文件规定要求签署、盖章；响应文件无法定代表人签字、响应文件签字人无法定代表人有效授权书的；</w:t>
            </w:r>
          </w:p>
        </w:tc>
      </w:tr>
      <w:tr w14:paraId="08897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5" w:type="dxa"/>
            <w:vAlign w:val="center"/>
          </w:tcPr>
          <w:p w14:paraId="543931DB">
            <w:pPr>
              <w:jc w:val="center"/>
              <w:rPr>
                <w:rFonts w:ascii="宋体" w:hAnsi="宋体" w:cs="宋体"/>
                <w:szCs w:val="21"/>
              </w:rPr>
            </w:pPr>
            <w:r>
              <w:rPr>
                <w:rFonts w:hint="eastAsia" w:ascii="宋体" w:hAnsi="宋体" w:cs="宋体"/>
                <w:kern w:val="0"/>
                <w:szCs w:val="21"/>
              </w:rPr>
              <w:t>6</w:t>
            </w:r>
          </w:p>
        </w:tc>
        <w:tc>
          <w:tcPr>
            <w:tcW w:w="7635" w:type="dxa"/>
            <w:vAlign w:val="center"/>
          </w:tcPr>
          <w:p w14:paraId="6F6BA6DC">
            <w:pPr>
              <w:widowControl/>
              <w:shd w:val="clear" w:color="auto" w:fill="FFFFFF"/>
              <w:jc w:val="left"/>
              <w:rPr>
                <w:rFonts w:ascii="宋体" w:hAnsi="宋体" w:cs="宋体"/>
                <w:kern w:val="0"/>
                <w:szCs w:val="21"/>
              </w:rPr>
            </w:pPr>
            <w:r>
              <w:rPr>
                <w:rFonts w:hint="eastAsia" w:ascii="宋体" w:hAnsi="宋体" w:cs="宋体"/>
                <w:kern w:val="0"/>
                <w:szCs w:val="21"/>
              </w:rPr>
              <w:t>响应总价或分项报价高于（分项）最高限价；</w:t>
            </w:r>
          </w:p>
        </w:tc>
      </w:tr>
      <w:tr w14:paraId="3D92B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5" w:type="dxa"/>
            <w:vAlign w:val="center"/>
          </w:tcPr>
          <w:p w14:paraId="1B628478">
            <w:pPr>
              <w:jc w:val="center"/>
              <w:rPr>
                <w:rFonts w:ascii="宋体" w:hAnsi="宋体" w:cs="宋体"/>
                <w:szCs w:val="21"/>
              </w:rPr>
            </w:pPr>
            <w:r>
              <w:rPr>
                <w:rFonts w:hint="eastAsia" w:ascii="宋体" w:hAnsi="宋体" w:cs="宋体"/>
                <w:kern w:val="0"/>
                <w:szCs w:val="21"/>
              </w:rPr>
              <w:t>7</w:t>
            </w:r>
          </w:p>
        </w:tc>
        <w:tc>
          <w:tcPr>
            <w:tcW w:w="7635" w:type="dxa"/>
            <w:vAlign w:val="center"/>
          </w:tcPr>
          <w:p w14:paraId="514ECC60">
            <w:pPr>
              <w:widowControl/>
              <w:shd w:val="clear" w:color="auto" w:fill="FFFFFF"/>
              <w:jc w:val="left"/>
              <w:rPr>
                <w:rFonts w:ascii="宋体" w:hAnsi="宋体" w:cs="宋体"/>
                <w:kern w:val="0"/>
                <w:szCs w:val="21"/>
              </w:rPr>
            </w:pPr>
            <w:r>
              <w:rPr>
                <w:rFonts w:hint="eastAsia" w:ascii="宋体" w:hAnsi="宋体" w:cs="宋体"/>
                <w:kern w:val="0"/>
                <w:szCs w:val="21"/>
              </w:rPr>
              <w:t>同一项目出现两个及以上报价，且按规定无法确定哪个是有效报价；</w:t>
            </w:r>
          </w:p>
        </w:tc>
      </w:tr>
      <w:tr w14:paraId="2B00E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865" w:type="dxa"/>
            <w:vAlign w:val="center"/>
          </w:tcPr>
          <w:p w14:paraId="37B57E2F">
            <w:pPr>
              <w:jc w:val="center"/>
              <w:rPr>
                <w:rFonts w:ascii="宋体" w:hAnsi="宋体" w:cs="宋体"/>
                <w:szCs w:val="21"/>
              </w:rPr>
            </w:pPr>
            <w:r>
              <w:rPr>
                <w:rFonts w:hint="eastAsia" w:ascii="宋体" w:hAnsi="宋体" w:cs="宋体"/>
                <w:kern w:val="0"/>
                <w:szCs w:val="21"/>
              </w:rPr>
              <w:t>8</w:t>
            </w:r>
          </w:p>
        </w:tc>
        <w:tc>
          <w:tcPr>
            <w:tcW w:w="7635" w:type="dxa"/>
            <w:vAlign w:val="center"/>
          </w:tcPr>
          <w:p w14:paraId="5ED6AB83">
            <w:pPr>
              <w:widowControl/>
              <w:shd w:val="clear" w:color="auto" w:fill="FFFFFF"/>
              <w:jc w:val="left"/>
              <w:rPr>
                <w:rFonts w:ascii="宋体" w:hAnsi="宋体" w:cs="宋体"/>
                <w:kern w:val="0"/>
                <w:szCs w:val="21"/>
              </w:rPr>
            </w:pPr>
            <w:r>
              <w:rPr>
                <w:rFonts w:hint="eastAsia" w:ascii="宋体" w:hAnsi="宋体" w:cs="宋体"/>
                <w:kern w:val="0"/>
                <w:szCs w:val="21"/>
              </w:rPr>
              <w:t>磋商小组认为供应商的报价明显低于其他通过符合性审查供应商的报价，有可能影响产品质量或者不能诚信履约的，且不能在合理的时间内提供书面说明，或无法提交相关证明材料，供应商不能证明其报价合理性的；</w:t>
            </w:r>
          </w:p>
        </w:tc>
      </w:tr>
      <w:tr w14:paraId="2CF0E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trPr>
        <w:tc>
          <w:tcPr>
            <w:tcW w:w="865" w:type="dxa"/>
            <w:vAlign w:val="center"/>
          </w:tcPr>
          <w:p w14:paraId="55FDD23B">
            <w:pPr>
              <w:jc w:val="center"/>
              <w:rPr>
                <w:rFonts w:ascii="宋体" w:hAnsi="宋体" w:cs="宋体"/>
                <w:szCs w:val="21"/>
              </w:rPr>
            </w:pPr>
            <w:r>
              <w:rPr>
                <w:rFonts w:hint="eastAsia" w:ascii="宋体" w:hAnsi="宋体" w:cs="宋体"/>
                <w:kern w:val="0"/>
                <w:szCs w:val="21"/>
              </w:rPr>
              <w:t>9</w:t>
            </w:r>
          </w:p>
        </w:tc>
        <w:tc>
          <w:tcPr>
            <w:tcW w:w="7635" w:type="dxa"/>
            <w:vAlign w:val="center"/>
          </w:tcPr>
          <w:p w14:paraId="58C6837D">
            <w:pPr>
              <w:widowControl/>
              <w:shd w:val="clear" w:color="auto" w:fill="FFFFFF"/>
              <w:jc w:val="left"/>
              <w:rPr>
                <w:rFonts w:ascii="宋体" w:hAnsi="宋体" w:cs="宋体"/>
                <w:kern w:val="0"/>
                <w:szCs w:val="21"/>
              </w:rPr>
            </w:pPr>
            <w:r>
              <w:rPr>
                <w:rFonts w:hint="eastAsia" w:ascii="宋体" w:hAnsi="宋体" w:cs="宋体"/>
                <w:kern w:val="0"/>
                <w:szCs w:val="21"/>
              </w:rPr>
              <w:t>所投产品、工程、服务在商务、技术等方面未实质性满足采购文件要求的（是否实质性满足采购文件要求，由磋商小组根据《实质性响应条款偏离表》做出评判）；</w:t>
            </w:r>
          </w:p>
        </w:tc>
      </w:tr>
      <w:tr w14:paraId="67309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65" w:type="dxa"/>
            <w:vAlign w:val="center"/>
          </w:tcPr>
          <w:p w14:paraId="304771D4">
            <w:pPr>
              <w:jc w:val="center"/>
              <w:rPr>
                <w:rFonts w:ascii="宋体" w:hAnsi="宋体" w:cs="宋体"/>
                <w:szCs w:val="21"/>
              </w:rPr>
            </w:pPr>
            <w:r>
              <w:rPr>
                <w:rFonts w:hint="eastAsia" w:ascii="宋体" w:hAnsi="宋体" w:cs="宋体"/>
                <w:kern w:val="0"/>
                <w:szCs w:val="21"/>
              </w:rPr>
              <w:t>10</w:t>
            </w:r>
          </w:p>
        </w:tc>
        <w:tc>
          <w:tcPr>
            <w:tcW w:w="7635" w:type="dxa"/>
            <w:vAlign w:val="center"/>
          </w:tcPr>
          <w:p w14:paraId="34668BFE">
            <w:pPr>
              <w:widowControl/>
              <w:shd w:val="clear" w:color="auto" w:fill="FFFFFF"/>
              <w:jc w:val="left"/>
              <w:rPr>
                <w:rFonts w:ascii="宋体" w:hAnsi="宋体" w:cs="宋体"/>
                <w:kern w:val="0"/>
                <w:szCs w:val="21"/>
              </w:rPr>
            </w:pPr>
            <w:r>
              <w:rPr>
                <w:rFonts w:hint="eastAsia" w:ascii="宋体" w:hAnsi="宋体" w:cs="宋体"/>
                <w:kern w:val="0"/>
                <w:szCs w:val="21"/>
              </w:rPr>
              <w:t>响应报价有严重缺漏项目；响应报价对采购文件规定的工程量清单项目及数量或采购标的进行修改；</w:t>
            </w:r>
          </w:p>
        </w:tc>
      </w:tr>
      <w:tr w14:paraId="705D5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5" w:type="dxa"/>
            <w:vAlign w:val="center"/>
          </w:tcPr>
          <w:p w14:paraId="3652C285">
            <w:pPr>
              <w:jc w:val="center"/>
              <w:rPr>
                <w:rFonts w:ascii="宋体" w:hAnsi="宋体" w:cs="宋体"/>
                <w:szCs w:val="21"/>
              </w:rPr>
            </w:pPr>
            <w:r>
              <w:rPr>
                <w:rFonts w:hint="eastAsia" w:ascii="宋体" w:hAnsi="宋体" w:cs="宋体"/>
                <w:kern w:val="0"/>
                <w:szCs w:val="21"/>
              </w:rPr>
              <w:t>11</w:t>
            </w:r>
          </w:p>
        </w:tc>
        <w:tc>
          <w:tcPr>
            <w:tcW w:w="7635" w:type="dxa"/>
            <w:vAlign w:val="center"/>
          </w:tcPr>
          <w:p w14:paraId="000FD33B">
            <w:pPr>
              <w:widowControl/>
              <w:shd w:val="clear" w:color="auto" w:fill="FFFFFF"/>
              <w:jc w:val="left"/>
              <w:rPr>
                <w:rFonts w:ascii="宋体" w:hAnsi="宋体" w:cs="宋体"/>
                <w:kern w:val="0"/>
                <w:szCs w:val="21"/>
              </w:rPr>
            </w:pPr>
            <w:r>
              <w:rPr>
                <w:rFonts w:hint="eastAsia" w:ascii="宋体" w:hAnsi="宋体" w:cs="宋体"/>
                <w:kern w:val="0"/>
                <w:szCs w:val="21"/>
              </w:rPr>
              <w:t>响应文件存在采购文件中规定的其它无效响应条款的；</w:t>
            </w:r>
          </w:p>
        </w:tc>
      </w:tr>
      <w:tr w14:paraId="6071E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65" w:type="dxa"/>
            <w:vAlign w:val="center"/>
          </w:tcPr>
          <w:p w14:paraId="2AE60AD9">
            <w:pPr>
              <w:jc w:val="center"/>
              <w:rPr>
                <w:rFonts w:ascii="宋体" w:hAnsi="宋体" w:cs="宋体"/>
                <w:szCs w:val="21"/>
              </w:rPr>
            </w:pPr>
            <w:r>
              <w:rPr>
                <w:rFonts w:hint="eastAsia" w:ascii="宋体" w:hAnsi="宋体" w:cs="宋体"/>
                <w:kern w:val="0"/>
                <w:szCs w:val="21"/>
              </w:rPr>
              <w:t>12</w:t>
            </w:r>
          </w:p>
        </w:tc>
        <w:tc>
          <w:tcPr>
            <w:tcW w:w="7635" w:type="dxa"/>
            <w:vAlign w:val="center"/>
          </w:tcPr>
          <w:p w14:paraId="0A8F3703">
            <w:pPr>
              <w:widowControl/>
              <w:shd w:val="clear" w:color="auto" w:fill="FFFFFF"/>
              <w:jc w:val="left"/>
              <w:rPr>
                <w:rFonts w:ascii="宋体" w:hAnsi="宋体" w:cs="宋体"/>
                <w:kern w:val="0"/>
                <w:szCs w:val="21"/>
              </w:rPr>
            </w:pPr>
            <w:r>
              <w:rPr>
                <w:rFonts w:hint="eastAsia" w:ascii="宋体" w:hAnsi="宋体" w:cs="宋体"/>
                <w:kern w:val="0"/>
                <w:szCs w:val="21"/>
              </w:rPr>
              <w:t>属于法律、法规规定的响应无效的其他情形。</w:t>
            </w:r>
          </w:p>
        </w:tc>
      </w:tr>
    </w:tbl>
    <w:p w14:paraId="4D36BC5A">
      <w:pPr>
        <w:widowControl/>
        <w:jc w:val="left"/>
        <w:rPr>
          <w:rFonts w:ascii="宋体" w:hAnsi="宋体" w:cs="宋体"/>
          <w:b/>
          <w:sz w:val="24"/>
          <w:szCs w:val="22"/>
        </w:rPr>
      </w:pPr>
      <w:r>
        <w:br w:type="page"/>
      </w:r>
    </w:p>
    <w:p w14:paraId="7E4AD758">
      <w:pPr>
        <w:pStyle w:val="140"/>
        <w:ind w:firstLine="0" w:firstLineChars="0"/>
        <w:jc w:val="center"/>
        <w:outlineLvl w:val="1"/>
        <w:rPr>
          <w:rFonts w:ascii="宋体" w:hAnsi="宋体" w:cs="宋体"/>
          <w:b/>
        </w:rPr>
      </w:pPr>
      <w:bookmarkStart w:id="213" w:name="_Toc8968"/>
      <w:r>
        <w:rPr>
          <w:rFonts w:hint="eastAsia" w:ascii="宋体" w:hAnsi="宋体" w:cs="宋体"/>
          <w:b/>
        </w:rPr>
        <w:t>综合评审打分表</w:t>
      </w:r>
      <w:bookmarkEnd w:id="213"/>
    </w:p>
    <w:tbl>
      <w:tblPr>
        <w:tblStyle w:val="50"/>
        <w:tblW w:w="8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0" w:type="dxa"/>
          <w:left w:w="108" w:type="dxa"/>
          <w:bottom w:w="20" w:type="dxa"/>
          <w:right w:w="108" w:type="dxa"/>
        </w:tblCellMar>
      </w:tblPr>
      <w:tblGrid>
        <w:gridCol w:w="696"/>
        <w:gridCol w:w="651"/>
        <w:gridCol w:w="1587"/>
        <w:gridCol w:w="664"/>
        <w:gridCol w:w="5289"/>
      </w:tblGrid>
      <w:tr w14:paraId="0306C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567" w:hRule="atLeast"/>
          <w:jc w:val="center"/>
        </w:trPr>
        <w:tc>
          <w:tcPr>
            <w:tcW w:w="696" w:type="dxa"/>
            <w:shd w:val="clear" w:color="auto" w:fill="auto"/>
          </w:tcPr>
          <w:p w14:paraId="1DE577BF">
            <w:pPr>
              <w:wordWrap w:val="0"/>
              <w:jc w:val="center"/>
              <w:rPr>
                <w:rFonts w:ascii="宋体" w:hAnsi="宋体" w:cs="宋体"/>
                <w:b/>
                <w:bCs/>
                <w:szCs w:val="21"/>
              </w:rPr>
            </w:pPr>
            <w:r>
              <w:rPr>
                <w:rFonts w:hint="eastAsia" w:ascii="宋体" w:hAnsi="宋体" w:cs="宋体"/>
                <w:b/>
                <w:bCs/>
                <w:szCs w:val="21"/>
              </w:rPr>
              <w:t>序号</w:t>
            </w:r>
          </w:p>
        </w:tc>
        <w:tc>
          <w:tcPr>
            <w:tcW w:w="2902" w:type="dxa"/>
            <w:gridSpan w:val="3"/>
            <w:shd w:val="clear" w:color="auto" w:fill="auto"/>
            <w:vAlign w:val="center"/>
          </w:tcPr>
          <w:p w14:paraId="794B26F6">
            <w:pPr>
              <w:wordWrap w:val="0"/>
              <w:jc w:val="center"/>
              <w:rPr>
                <w:rFonts w:ascii="宋体" w:hAnsi="宋体" w:cs="宋体"/>
                <w:b/>
                <w:bCs/>
                <w:szCs w:val="21"/>
              </w:rPr>
            </w:pPr>
            <w:r>
              <w:rPr>
                <w:rFonts w:hint="eastAsia" w:ascii="宋体" w:hAnsi="宋体" w:cs="宋体"/>
                <w:b/>
                <w:bCs/>
                <w:szCs w:val="21"/>
              </w:rPr>
              <w:t>评分项</w:t>
            </w:r>
          </w:p>
        </w:tc>
        <w:tc>
          <w:tcPr>
            <w:tcW w:w="5289" w:type="dxa"/>
            <w:shd w:val="clear" w:color="auto" w:fill="auto"/>
            <w:vAlign w:val="center"/>
          </w:tcPr>
          <w:p w14:paraId="051B2BF6">
            <w:pPr>
              <w:wordWrap w:val="0"/>
              <w:jc w:val="center"/>
              <w:rPr>
                <w:rFonts w:ascii="宋体" w:hAnsi="宋体" w:cs="宋体"/>
                <w:b/>
                <w:bCs/>
                <w:szCs w:val="21"/>
              </w:rPr>
            </w:pPr>
            <w:r>
              <w:rPr>
                <w:rFonts w:hint="eastAsia" w:ascii="宋体" w:hAnsi="宋体" w:cs="宋体"/>
                <w:b/>
                <w:bCs/>
                <w:szCs w:val="21"/>
              </w:rPr>
              <w:t>分值</w:t>
            </w:r>
          </w:p>
        </w:tc>
      </w:tr>
      <w:tr w14:paraId="5763A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567" w:hRule="atLeast"/>
          <w:jc w:val="center"/>
        </w:trPr>
        <w:tc>
          <w:tcPr>
            <w:tcW w:w="696" w:type="dxa"/>
            <w:vAlign w:val="center"/>
          </w:tcPr>
          <w:p w14:paraId="22FC0849">
            <w:pPr>
              <w:wordWrap w:val="0"/>
              <w:jc w:val="center"/>
              <w:rPr>
                <w:rFonts w:ascii="宋体" w:hAnsi="宋体" w:cs="宋体"/>
                <w:b/>
                <w:bCs/>
                <w:szCs w:val="21"/>
              </w:rPr>
            </w:pPr>
            <w:r>
              <w:rPr>
                <w:rFonts w:hint="eastAsia" w:ascii="宋体" w:hAnsi="宋体" w:cs="宋体"/>
                <w:b/>
                <w:bCs/>
                <w:szCs w:val="21"/>
              </w:rPr>
              <w:t>1</w:t>
            </w:r>
          </w:p>
        </w:tc>
        <w:tc>
          <w:tcPr>
            <w:tcW w:w="2902" w:type="dxa"/>
            <w:gridSpan w:val="3"/>
            <w:vAlign w:val="center"/>
          </w:tcPr>
          <w:p w14:paraId="4E08E4D7">
            <w:pPr>
              <w:wordWrap w:val="0"/>
              <w:jc w:val="center"/>
              <w:rPr>
                <w:rFonts w:ascii="宋体" w:hAnsi="宋体" w:cs="宋体"/>
                <w:b/>
                <w:bCs/>
                <w:szCs w:val="21"/>
              </w:rPr>
            </w:pPr>
            <w:r>
              <w:rPr>
                <w:rFonts w:hint="eastAsia" w:ascii="宋体" w:hAnsi="宋体" w:cs="宋体"/>
                <w:b/>
                <w:bCs/>
                <w:szCs w:val="21"/>
              </w:rPr>
              <w:t>价  格</w:t>
            </w:r>
          </w:p>
        </w:tc>
        <w:tc>
          <w:tcPr>
            <w:tcW w:w="5289" w:type="dxa"/>
            <w:vAlign w:val="center"/>
          </w:tcPr>
          <w:p w14:paraId="7C9CD70F">
            <w:pPr>
              <w:wordWrap w:val="0"/>
              <w:jc w:val="center"/>
              <w:rPr>
                <w:rFonts w:ascii="宋体" w:hAnsi="宋体" w:cs="宋体"/>
                <w:b/>
                <w:bCs/>
                <w:szCs w:val="21"/>
              </w:rPr>
            </w:pPr>
            <w:r>
              <w:rPr>
                <w:rFonts w:hint="eastAsia" w:ascii="宋体" w:hAnsi="宋体" w:cs="宋体"/>
                <w:b/>
                <w:bCs/>
                <w:szCs w:val="21"/>
              </w:rPr>
              <w:t>40</w:t>
            </w:r>
          </w:p>
        </w:tc>
      </w:tr>
      <w:tr w14:paraId="6A58B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567" w:hRule="atLeast"/>
          <w:jc w:val="center"/>
        </w:trPr>
        <w:tc>
          <w:tcPr>
            <w:tcW w:w="696" w:type="dxa"/>
            <w:vAlign w:val="center"/>
          </w:tcPr>
          <w:p w14:paraId="14BD7A2A">
            <w:pPr>
              <w:wordWrap w:val="0"/>
              <w:jc w:val="center"/>
              <w:rPr>
                <w:rFonts w:ascii="宋体" w:hAnsi="宋体" w:cs="宋体"/>
                <w:b/>
                <w:bCs/>
                <w:szCs w:val="21"/>
              </w:rPr>
            </w:pPr>
            <w:r>
              <w:rPr>
                <w:rFonts w:hint="eastAsia" w:ascii="宋体" w:hAnsi="宋体" w:cs="宋体"/>
                <w:b/>
                <w:bCs/>
                <w:szCs w:val="21"/>
              </w:rPr>
              <w:t>2</w:t>
            </w:r>
          </w:p>
        </w:tc>
        <w:tc>
          <w:tcPr>
            <w:tcW w:w="2902" w:type="dxa"/>
            <w:gridSpan w:val="3"/>
            <w:vAlign w:val="center"/>
          </w:tcPr>
          <w:p w14:paraId="2DC99C65">
            <w:pPr>
              <w:wordWrap w:val="0"/>
              <w:jc w:val="center"/>
              <w:rPr>
                <w:rFonts w:ascii="宋体" w:hAnsi="宋体" w:cs="宋体"/>
                <w:b/>
                <w:bCs/>
                <w:szCs w:val="21"/>
              </w:rPr>
            </w:pPr>
            <w:r>
              <w:rPr>
                <w:rFonts w:hint="eastAsia" w:ascii="宋体" w:hAnsi="宋体" w:cs="宋体"/>
                <w:b/>
                <w:bCs/>
                <w:szCs w:val="21"/>
              </w:rPr>
              <w:t>技  术</w:t>
            </w:r>
          </w:p>
        </w:tc>
        <w:tc>
          <w:tcPr>
            <w:tcW w:w="5289" w:type="dxa"/>
            <w:vAlign w:val="center"/>
          </w:tcPr>
          <w:p w14:paraId="749D2781">
            <w:pPr>
              <w:tabs>
                <w:tab w:val="left" w:pos="1785"/>
                <w:tab w:val="center" w:pos="1968"/>
              </w:tabs>
              <w:jc w:val="center"/>
              <w:rPr>
                <w:rFonts w:ascii="宋体" w:hAnsi="宋体" w:cs="宋体"/>
                <w:b/>
                <w:bCs/>
                <w:szCs w:val="21"/>
              </w:rPr>
            </w:pPr>
            <w:r>
              <w:rPr>
                <w:rFonts w:hint="eastAsia" w:ascii="宋体" w:hAnsi="宋体" w:cs="宋体"/>
                <w:b/>
                <w:bCs/>
                <w:szCs w:val="21"/>
              </w:rPr>
              <w:t>37</w:t>
            </w:r>
          </w:p>
        </w:tc>
      </w:tr>
      <w:tr w14:paraId="0027F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454" w:hRule="atLeast"/>
          <w:jc w:val="center"/>
        </w:trPr>
        <w:tc>
          <w:tcPr>
            <w:tcW w:w="696" w:type="dxa"/>
            <w:vMerge w:val="restart"/>
            <w:shd w:val="clear" w:color="auto" w:fill="auto"/>
          </w:tcPr>
          <w:p w14:paraId="61B75870">
            <w:pPr>
              <w:jc w:val="center"/>
              <w:rPr>
                <w:rFonts w:ascii="宋体" w:hAnsi="宋体" w:cs="宋体"/>
                <w:b/>
                <w:bCs/>
                <w:szCs w:val="21"/>
              </w:rPr>
            </w:pPr>
          </w:p>
        </w:tc>
        <w:tc>
          <w:tcPr>
            <w:tcW w:w="651" w:type="dxa"/>
            <w:shd w:val="clear" w:color="auto" w:fill="auto"/>
            <w:vAlign w:val="center"/>
          </w:tcPr>
          <w:p w14:paraId="684B1933">
            <w:pPr>
              <w:shd w:val="clear" w:color="auto" w:fill="FFFFFF"/>
              <w:wordWrap w:val="0"/>
              <w:ind w:left="-29" w:leftChars="-14" w:right="-115" w:rightChars="-55"/>
              <w:jc w:val="center"/>
              <w:rPr>
                <w:rFonts w:ascii="宋体" w:hAnsi="宋体" w:cs="宋体"/>
                <w:b/>
                <w:szCs w:val="21"/>
              </w:rPr>
            </w:pPr>
            <w:r>
              <w:rPr>
                <w:rFonts w:hint="eastAsia" w:ascii="宋体" w:hAnsi="宋体" w:cs="宋体"/>
                <w:b/>
                <w:szCs w:val="21"/>
              </w:rPr>
              <w:t>序号</w:t>
            </w:r>
          </w:p>
        </w:tc>
        <w:tc>
          <w:tcPr>
            <w:tcW w:w="1587" w:type="dxa"/>
            <w:shd w:val="clear" w:color="auto" w:fill="auto"/>
            <w:vAlign w:val="center"/>
          </w:tcPr>
          <w:p w14:paraId="5A7E17CE">
            <w:pPr>
              <w:shd w:val="clear" w:color="auto" w:fill="FFFFFF"/>
              <w:wordWrap w:val="0"/>
              <w:jc w:val="center"/>
              <w:rPr>
                <w:rFonts w:ascii="宋体" w:hAnsi="宋体" w:cs="宋体"/>
                <w:b/>
                <w:szCs w:val="21"/>
              </w:rPr>
            </w:pPr>
            <w:r>
              <w:rPr>
                <w:rFonts w:hint="eastAsia" w:ascii="宋体" w:hAnsi="宋体" w:cs="宋体"/>
                <w:b/>
                <w:szCs w:val="21"/>
              </w:rPr>
              <w:t>评分因素</w:t>
            </w:r>
          </w:p>
        </w:tc>
        <w:tc>
          <w:tcPr>
            <w:tcW w:w="664" w:type="dxa"/>
            <w:shd w:val="clear" w:color="auto" w:fill="auto"/>
            <w:vAlign w:val="center"/>
          </w:tcPr>
          <w:p w14:paraId="5BA0BB13">
            <w:pPr>
              <w:shd w:val="clear" w:color="auto" w:fill="FFFFFF"/>
              <w:wordWrap w:val="0"/>
              <w:jc w:val="center"/>
              <w:rPr>
                <w:rFonts w:ascii="宋体" w:hAnsi="宋体" w:cs="宋体"/>
                <w:b/>
                <w:szCs w:val="21"/>
              </w:rPr>
            </w:pPr>
            <w:r>
              <w:rPr>
                <w:rFonts w:hint="eastAsia" w:ascii="宋体" w:hAnsi="宋体" w:cs="宋体"/>
                <w:b/>
                <w:bCs/>
                <w:szCs w:val="21"/>
              </w:rPr>
              <w:t>分值</w:t>
            </w:r>
          </w:p>
        </w:tc>
        <w:tc>
          <w:tcPr>
            <w:tcW w:w="5289" w:type="dxa"/>
            <w:shd w:val="clear" w:color="auto" w:fill="auto"/>
            <w:vAlign w:val="center"/>
          </w:tcPr>
          <w:p w14:paraId="4167E937">
            <w:pPr>
              <w:shd w:val="clear" w:color="auto" w:fill="FFFFFF"/>
              <w:wordWrap w:val="0"/>
              <w:jc w:val="center"/>
              <w:rPr>
                <w:rFonts w:ascii="宋体" w:hAnsi="宋体" w:cs="宋体"/>
                <w:b/>
                <w:szCs w:val="21"/>
              </w:rPr>
            </w:pPr>
            <w:r>
              <w:rPr>
                <w:rFonts w:hint="eastAsia" w:ascii="宋体" w:hAnsi="宋体" w:cs="宋体"/>
                <w:b/>
                <w:szCs w:val="21"/>
              </w:rPr>
              <w:t>评分准则</w:t>
            </w:r>
          </w:p>
        </w:tc>
      </w:tr>
      <w:tr w14:paraId="234F2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454" w:hRule="atLeast"/>
          <w:jc w:val="center"/>
        </w:trPr>
        <w:tc>
          <w:tcPr>
            <w:tcW w:w="696" w:type="dxa"/>
            <w:vMerge w:val="continue"/>
            <w:shd w:val="clear" w:color="auto" w:fill="auto"/>
          </w:tcPr>
          <w:p w14:paraId="417C098B">
            <w:pPr>
              <w:jc w:val="center"/>
              <w:rPr>
                <w:rFonts w:ascii="宋体" w:hAnsi="宋体" w:cs="宋体"/>
                <w:b/>
                <w:bCs/>
                <w:szCs w:val="21"/>
              </w:rPr>
            </w:pPr>
          </w:p>
        </w:tc>
        <w:tc>
          <w:tcPr>
            <w:tcW w:w="651" w:type="dxa"/>
          </w:tcPr>
          <w:p w14:paraId="04003E24">
            <w:pPr>
              <w:wordWrap w:val="0"/>
              <w:jc w:val="center"/>
              <w:rPr>
                <w:rFonts w:ascii="宋体" w:hAnsi="宋体" w:cs="宋体"/>
                <w:szCs w:val="21"/>
              </w:rPr>
            </w:pPr>
            <w:r>
              <w:rPr>
                <w:rFonts w:hint="eastAsia" w:ascii="宋体" w:hAnsi="宋体" w:cs="宋体"/>
                <w:szCs w:val="21"/>
              </w:rPr>
              <w:t>1</w:t>
            </w:r>
          </w:p>
        </w:tc>
        <w:tc>
          <w:tcPr>
            <w:tcW w:w="1587" w:type="dxa"/>
          </w:tcPr>
          <w:p w14:paraId="05B3DAE4">
            <w:pPr>
              <w:jc w:val="center"/>
              <w:rPr>
                <w:rFonts w:ascii="宋体" w:hAnsi="宋体" w:cs="宋体"/>
                <w:szCs w:val="21"/>
              </w:rPr>
            </w:pPr>
            <w:r>
              <w:rPr>
                <w:rFonts w:hint="eastAsia" w:ascii="宋体" w:hAnsi="宋体" w:cs="宋体"/>
                <w:szCs w:val="21"/>
              </w:rPr>
              <w:t>项目总体概述及理解</w:t>
            </w:r>
          </w:p>
        </w:tc>
        <w:tc>
          <w:tcPr>
            <w:tcW w:w="664" w:type="dxa"/>
          </w:tcPr>
          <w:p w14:paraId="31656ABB">
            <w:pPr>
              <w:spacing w:after="160"/>
              <w:jc w:val="center"/>
              <w:rPr>
                <w:rFonts w:ascii="宋体" w:hAnsi="宋体" w:cs="宋体"/>
                <w:szCs w:val="21"/>
              </w:rPr>
            </w:pPr>
            <w:r>
              <w:rPr>
                <w:rFonts w:hint="eastAsia" w:ascii="宋体" w:hAnsi="宋体" w:cs="宋体"/>
                <w:szCs w:val="21"/>
              </w:rPr>
              <w:t>5</w:t>
            </w:r>
          </w:p>
        </w:tc>
        <w:tc>
          <w:tcPr>
            <w:tcW w:w="5289" w:type="dxa"/>
            <w:shd w:val="clear" w:color="auto" w:fill="auto"/>
          </w:tcPr>
          <w:p w14:paraId="41963501">
            <w:pPr>
              <w:rPr>
                <w:rFonts w:ascii="宋体" w:hAnsi="宋体" w:cs="宋体"/>
                <w:b/>
                <w:szCs w:val="21"/>
              </w:rPr>
            </w:pPr>
            <w:r>
              <w:rPr>
                <w:rFonts w:hint="eastAsia" w:ascii="宋体" w:hAnsi="宋体" w:cs="宋体"/>
                <w:b/>
                <w:szCs w:val="21"/>
              </w:rPr>
              <w:t>（一）评审内容（考察点）：</w:t>
            </w:r>
          </w:p>
          <w:p w14:paraId="68CB4CA6">
            <w:pPr>
              <w:rPr>
                <w:rFonts w:ascii="宋体" w:hAnsi="宋体" w:cs="宋体"/>
                <w:szCs w:val="21"/>
              </w:rPr>
            </w:pPr>
            <w:r>
              <w:rPr>
                <w:rFonts w:hint="eastAsia" w:ascii="宋体" w:hAnsi="宋体" w:cs="宋体"/>
                <w:szCs w:val="21"/>
              </w:rPr>
              <w:t>1.项目基本情况和工作内容的理解。</w:t>
            </w:r>
          </w:p>
          <w:p w14:paraId="02CE7B7B">
            <w:pPr>
              <w:rPr>
                <w:rFonts w:ascii="宋体" w:hAnsi="宋体" w:cs="宋体"/>
                <w:szCs w:val="21"/>
              </w:rPr>
            </w:pPr>
            <w:r>
              <w:rPr>
                <w:rFonts w:hint="eastAsia" w:ascii="宋体" w:hAnsi="宋体" w:cs="宋体"/>
                <w:szCs w:val="21"/>
              </w:rPr>
              <w:t>2.项目组织实施的总体思路和综合措施。</w:t>
            </w:r>
          </w:p>
          <w:p w14:paraId="208343AF">
            <w:pPr>
              <w:rPr>
                <w:rFonts w:ascii="宋体" w:hAnsi="宋体" w:cs="宋体"/>
                <w:b/>
                <w:szCs w:val="21"/>
              </w:rPr>
            </w:pPr>
          </w:p>
          <w:p w14:paraId="5BAD067D">
            <w:pPr>
              <w:shd w:val="clear" w:color="auto" w:fill="FFFFFF"/>
              <w:rPr>
                <w:rFonts w:ascii="宋体" w:hAnsi="宋体" w:cs="宋体"/>
                <w:b/>
                <w:szCs w:val="21"/>
              </w:rPr>
            </w:pPr>
            <w:r>
              <w:rPr>
                <w:rFonts w:hint="eastAsia" w:ascii="宋体" w:hAnsi="宋体" w:cs="宋体"/>
                <w:b/>
                <w:szCs w:val="21"/>
              </w:rPr>
              <w:t>（二）评分标准：</w:t>
            </w:r>
          </w:p>
          <w:p w14:paraId="6C2F53E8">
            <w:pPr>
              <w:shd w:val="clear" w:color="auto" w:fill="FFFFFF"/>
              <w:rPr>
                <w:rFonts w:ascii="宋体" w:hAnsi="宋体" w:cs="宋体"/>
                <w:b/>
                <w:szCs w:val="21"/>
              </w:rPr>
            </w:pPr>
            <w:r>
              <w:rPr>
                <w:rFonts w:hint="eastAsia" w:ascii="宋体" w:hAnsi="宋体" w:cs="宋体"/>
                <w:b/>
                <w:szCs w:val="21"/>
              </w:rPr>
              <w:t>1.响应文件满足评审内容情况，本项最高得</w:t>
            </w:r>
            <w:r>
              <w:rPr>
                <w:rFonts w:hint="eastAsia" w:ascii="宋体" w:hAnsi="宋体" w:cs="宋体"/>
                <w:b/>
                <w:szCs w:val="21"/>
                <w:u w:val="single"/>
              </w:rPr>
              <w:t>1</w:t>
            </w:r>
            <w:r>
              <w:rPr>
                <w:rFonts w:hint="eastAsia" w:ascii="宋体" w:hAnsi="宋体" w:cs="宋体"/>
                <w:b/>
                <w:szCs w:val="21"/>
              </w:rPr>
              <w:t>分。</w:t>
            </w:r>
          </w:p>
          <w:p w14:paraId="273DA1B3">
            <w:pPr>
              <w:shd w:val="clear" w:color="auto" w:fill="FFFFFF"/>
              <w:ind w:firstLine="478" w:firstLineChars="228"/>
              <w:rPr>
                <w:rFonts w:ascii="宋体" w:hAnsi="宋体" w:cs="宋体"/>
                <w:szCs w:val="21"/>
                <w:u w:val="single"/>
              </w:rPr>
            </w:pPr>
            <w:r>
              <w:rPr>
                <w:rFonts w:hint="eastAsia" w:ascii="宋体" w:hAnsi="宋体" w:cs="宋体"/>
                <w:szCs w:val="21"/>
              </w:rPr>
              <w:t>（1）每满足1点得</w:t>
            </w:r>
            <w:r>
              <w:rPr>
                <w:rFonts w:hint="eastAsia" w:ascii="宋体" w:hAnsi="宋体" w:cs="宋体"/>
                <w:szCs w:val="21"/>
                <w:u w:val="single"/>
              </w:rPr>
              <w:t>0.5分；</w:t>
            </w:r>
          </w:p>
          <w:p w14:paraId="6C5DDAB3">
            <w:pPr>
              <w:shd w:val="clear" w:color="auto" w:fill="FFFFFF"/>
              <w:ind w:firstLine="478" w:firstLineChars="228"/>
              <w:rPr>
                <w:rFonts w:ascii="宋体" w:hAnsi="宋体" w:cs="宋体"/>
                <w:szCs w:val="21"/>
              </w:rPr>
            </w:pPr>
            <w:r>
              <w:rPr>
                <w:rFonts w:hint="eastAsia" w:ascii="宋体" w:hAnsi="宋体" w:cs="宋体"/>
                <w:szCs w:val="21"/>
              </w:rPr>
              <w:t>（2）考察点全部满足，得</w:t>
            </w:r>
            <w:r>
              <w:rPr>
                <w:rFonts w:hint="eastAsia" w:ascii="宋体" w:hAnsi="宋体" w:cs="宋体"/>
                <w:szCs w:val="21"/>
                <w:u w:val="single"/>
              </w:rPr>
              <w:t>1</w:t>
            </w:r>
            <w:r>
              <w:rPr>
                <w:rFonts w:hint="eastAsia" w:ascii="宋体" w:hAnsi="宋体" w:cs="宋体"/>
                <w:szCs w:val="21"/>
              </w:rPr>
              <w:t>分；</w:t>
            </w:r>
          </w:p>
          <w:p w14:paraId="6C0F45DB">
            <w:pPr>
              <w:shd w:val="clear" w:color="auto" w:fill="FFFFFF"/>
              <w:ind w:firstLine="478" w:firstLineChars="228"/>
              <w:rPr>
                <w:rFonts w:ascii="宋体" w:hAnsi="宋体" w:cs="宋体"/>
                <w:szCs w:val="21"/>
              </w:rPr>
            </w:pPr>
            <w:r>
              <w:rPr>
                <w:rFonts w:hint="eastAsia" w:ascii="宋体" w:hAnsi="宋体" w:cs="宋体"/>
                <w:szCs w:val="21"/>
              </w:rPr>
              <w:t>（3）考察点全部不满足，不得分。</w:t>
            </w:r>
          </w:p>
          <w:p w14:paraId="72872771">
            <w:pPr>
              <w:shd w:val="clear" w:color="auto" w:fill="FFFFFF"/>
              <w:rPr>
                <w:rFonts w:ascii="宋体" w:hAnsi="宋体" w:cs="宋体"/>
                <w:b/>
                <w:szCs w:val="21"/>
              </w:rPr>
            </w:pPr>
            <w:r>
              <w:rPr>
                <w:rFonts w:hint="eastAsia" w:ascii="宋体" w:hAnsi="宋体" w:cs="宋体"/>
                <w:b/>
                <w:szCs w:val="21"/>
              </w:rPr>
              <w:t>2.在此基础上，根据方案整体全面性、具体性、针对性、合理性、可操作性进行评分，本项最高加</w:t>
            </w:r>
            <w:r>
              <w:rPr>
                <w:rFonts w:hint="eastAsia" w:ascii="宋体" w:hAnsi="宋体" w:cs="宋体"/>
                <w:b/>
                <w:szCs w:val="21"/>
                <w:u w:val="single"/>
              </w:rPr>
              <w:t>4</w:t>
            </w:r>
            <w:r>
              <w:rPr>
                <w:rFonts w:hint="eastAsia" w:ascii="宋体" w:hAnsi="宋体" w:cs="宋体"/>
                <w:b/>
                <w:szCs w:val="21"/>
              </w:rPr>
              <w:t>分。</w:t>
            </w:r>
          </w:p>
          <w:p w14:paraId="33C82B40">
            <w:pPr>
              <w:shd w:val="clear" w:color="auto" w:fill="FFFFFF"/>
              <w:ind w:firstLine="480" w:firstLineChars="229"/>
              <w:rPr>
                <w:rFonts w:ascii="宋体" w:hAnsi="宋体" w:cs="宋体"/>
                <w:szCs w:val="21"/>
              </w:rPr>
            </w:pPr>
            <w:r>
              <w:rPr>
                <w:rFonts w:hint="eastAsia" w:ascii="宋体" w:hAnsi="宋体" w:cs="宋体"/>
                <w:szCs w:val="21"/>
              </w:rPr>
              <w:t>（1）响应文件内容全面；（2）响应文件响应内容具体；（3）响应文件内容针对性强；（4）响应文件内容科学合理；（5）响应文件内容可操作性强。</w:t>
            </w:r>
          </w:p>
          <w:p w14:paraId="6B8F0ED7">
            <w:pPr>
              <w:shd w:val="clear" w:color="auto" w:fill="FFFFFF"/>
              <w:ind w:firstLine="478" w:firstLineChars="228"/>
              <w:rPr>
                <w:rFonts w:ascii="宋体" w:hAnsi="宋体" w:cs="宋体"/>
                <w:szCs w:val="21"/>
                <w:u w:val="single"/>
              </w:rPr>
            </w:pPr>
            <w:r>
              <w:rPr>
                <w:rFonts w:hint="eastAsia" w:ascii="宋体" w:hAnsi="宋体" w:cs="宋体"/>
                <w:szCs w:val="21"/>
              </w:rPr>
              <w:t>每满足1点得</w:t>
            </w:r>
            <w:r>
              <w:rPr>
                <w:rFonts w:hint="eastAsia" w:ascii="宋体" w:hAnsi="宋体" w:cs="宋体"/>
                <w:szCs w:val="21"/>
                <w:u w:val="single"/>
              </w:rPr>
              <w:t>0.8分；</w:t>
            </w:r>
          </w:p>
          <w:p w14:paraId="1770FF56">
            <w:pPr>
              <w:shd w:val="clear" w:color="auto" w:fill="FFFFFF"/>
              <w:ind w:firstLine="478" w:firstLineChars="228"/>
              <w:rPr>
                <w:rFonts w:ascii="宋体" w:hAnsi="宋体" w:cs="宋体"/>
                <w:szCs w:val="21"/>
              </w:rPr>
            </w:pPr>
            <w:r>
              <w:rPr>
                <w:rFonts w:hint="eastAsia" w:ascii="宋体" w:hAnsi="宋体" w:cs="宋体"/>
                <w:szCs w:val="21"/>
              </w:rPr>
              <w:t>考察点全部满足，得4分；</w:t>
            </w:r>
          </w:p>
          <w:p w14:paraId="38CF83EC">
            <w:pPr>
              <w:shd w:val="clear" w:color="auto" w:fill="FFFFFF"/>
              <w:ind w:firstLine="478" w:firstLineChars="228"/>
              <w:rPr>
                <w:rFonts w:ascii="宋体" w:hAnsi="宋体" w:cs="宋体"/>
                <w:szCs w:val="21"/>
              </w:rPr>
            </w:pPr>
            <w:r>
              <w:rPr>
                <w:rFonts w:hint="eastAsia" w:ascii="宋体" w:hAnsi="宋体" w:cs="宋体"/>
                <w:szCs w:val="21"/>
              </w:rPr>
              <w:t>考察点全部不满足，不得分。</w:t>
            </w:r>
          </w:p>
          <w:p w14:paraId="5C910A67">
            <w:pPr>
              <w:rPr>
                <w:rFonts w:ascii="宋体" w:hAnsi="宋体" w:cs="宋体"/>
                <w:szCs w:val="21"/>
              </w:rPr>
            </w:pPr>
            <w:r>
              <w:rPr>
                <w:rFonts w:hint="eastAsia" w:ascii="宋体" w:hAnsi="宋体" w:cs="宋体"/>
                <w:szCs w:val="21"/>
              </w:rPr>
              <w:t>其它情况不加分。如果不加分要求专家书面说明理由，并记录在档。</w:t>
            </w:r>
          </w:p>
        </w:tc>
      </w:tr>
      <w:tr w14:paraId="2599F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454" w:hRule="atLeast"/>
          <w:jc w:val="center"/>
        </w:trPr>
        <w:tc>
          <w:tcPr>
            <w:tcW w:w="696" w:type="dxa"/>
            <w:vMerge w:val="continue"/>
            <w:shd w:val="clear" w:color="auto" w:fill="auto"/>
          </w:tcPr>
          <w:p w14:paraId="0E2D8769">
            <w:pPr>
              <w:jc w:val="center"/>
              <w:rPr>
                <w:rFonts w:ascii="宋体" w:hAnsi="宋体" w:cs="宋体"/>
                <w:b/>
                <w:bCs/>
                <w:szCs w:val="21"/>
              </w:rPr>
            </w:pPr>
          </w:p>
        </w:tc>
        <w:tc>
          <w:tcPr>
            <w:tcW w:w="651" w:type="dxa"/>
          </w:tcPr>
          <w:p w14:paraId="2C1F2865">
            <w:pPr>
              <w:wordWrap w:val="0"/>
              <w:jc w:val="center"/>
              <w:rPr>
                <w:rFonts w:ascii="宋体" w:hAnsi="宋体" w:cs="宋体"/>
                <w:szCs w:val="21"/>
              </w:rPr>
            </w:pPr>
            <w:r>
              <w:rPr>
                <w:rFonts w:hint="eastAsia" w:ascii="宋体" w:hAnsi="宋体" w:cs="宋体"/>
                <w:szCs w:val="21"/>
              </w:rPr>
              <w:t>2</w:t>
            </w:r>
          </w:p>
        </w:tc>
        <w:tc>
          <w:tcPr>
            <w:tcW w:w="1587" w:type="dxa"/>
          </w:tcPr>
          <w:p w14:paraId="509F1C82">
            <w:pPr>
              <w:jc w:val="center"/>
              <w:rPr>
                <w:rFonts w:ascii="宋体" w:hAnsi="宋体" w:cs="宋体"/>
                <w:szCs w:val="21"/>
              </w:rPr>
            </w:pPr>
            <w:r>
              <w:rPr>
                <w:rFonts w:hint="eastAsia" w:ascii="宋体" w:hAnsi="宋体" w:cs="宋体"/>
                <w:szCs w:val="21"/>
              </w:rPr>
              <w:t>施工组织计划、施工技术、施工工艺及相关的合理化建议</w:t>
            </w:r>
          </w:p>
        </w:tc>
        <w:tc>
          <w:tcPr>
            <w:tcW w:w="664" w:type="dxa"/>
          </w:tcPr>
          <w:p w14:paraId="5DB338F2">
            <w:pPr>
              <w:spacing w:after="160"/>
              <w:jc w:val="center"/>
              <w:rPr>
                <w:rFonts w:ascii="宋体" w:hAnsi="宋体" w:cs="宋体"/>
                <w:szCs w:val="21"/>
              </w:rPr>
            </w:pPr>
            <w:r>
              <w:rPr>
                <w:rFonts w:hint="eastAsia" w:ascii="宋体" w:hAnsi="宋体" w:cs="宋体"/>
                <w:szCs w:val="21"/>
              </w:rPr>
              <w:t>6</w:t>
            </w:r>
          </w:p>
        </w:tc>
        <w:tc>
          <w:tcPr>
            <w:tcW w:w="5289" w:type="dxa"/>
          </w:tcPr>
          <w:p w14:paraId="6E2F7BFE">
            <w:pPr>
              <w:ind w:right="-48" w:rightChars="-23"/>
              <w:rPr>
                <w:rFonts w:ascii="宋体" w:hAnsi="宋体" w:cs="宋体"/>
                <w:b/>
                <w:szCs w:val="21"/>
              </w:rPr>
            </w:pPr>
            <w:r>
              <w:rPr>
                <w:rFonts w:hint="eastAsia" w:ascii="宋体" w:hAnsi="宋体" w:cs="宋体"/>
                <w:b/>
                <w:szCs w:val="21"/>
              </w:rPr>
              <w:t>（一）评审内容（考察点）：</w:t>
            </w:r>
          </w:p>
          <w:p w14:paraId="2289D0DA">
            <w:pPr>
              <w:ind w:right="-48" w:rightChars="-23"/>
              <w:rPr>
                <w:rFonts w:ascii="宋体" w:hAnsi="宋体" w:cs="宋体"/>
                <w:szCs w:val="21"/>
              </w:rPr>
            </w:pPr>
            <w:r>
              <w:rPr>
                <w:rFonts w:hint="eastAsia" w:ascii="宋体" w:hAnsi="宋体" w:cs="宋体"/>
                <w:szCs w:val="21"/>
              </w:rPr>
              <w:t>1.施工组织计划。</w:t>
            </w:r>
          </w:p>
          <w:p w14:paraId="788149A7">
            <w:pPr>
              <w:ind w:right="-48" w:rightChars="-23"/>
              <w:rPr>
                <w:rFonts w:ascii="宋体" w:hAnsi="宋体" w:cs="宋体"/>
                <w:szCs w:val="21"/>
              </w:rPr>
            </w:pPr>
            <w:r>
              <w:rPr>
                <w:rFonts w:hint="eastAsia" w:ascii="宋体" w:hAnsi="宋体" w:cs="宋体"/>
                <w:szCs w:val="21"/>
              </w:rPr>
              <w:t>2.施工技术、施工工艺。</w:t>
            </w:r>
          </w:p>
          <w:p w14:paraId="52B2CEF5">
            <w:pPr>
              <w:ind w:right="-48" w:rightChars="-23"/>
              <w:rPr>
                <w:rFonts w:ascii="宋体" w:hAnsi="宋体" w:cs="宋体"/>
                <w:szCs w:val="21"/>
              </w:rPr>
            </w:pPr>
            <w:r>
              <w:rPr>
                <w:rFonts w:hint="eastAsia" w:ascii="宋体" w:hAnsi="宋体" w:cs="宋体"/>
                <w:szCs w:val="21"/>
              </w:rPr>
              <w:t>3.提出具有建设性的合理化建议。</w:t>
            </w:r>
          </w:p>
          <w:p w14:paraId="7DF802B3">
            <w:pPr>
              <w:shd w:val="clear" w:color="auto" w:fill="FFFFFF"/>
              <w:rPr>
                <w:rFonts w:ascii="宋体" w:hAnsi="宋体" w:cs="宋体"/>
                <w:b/>
                <w:szCs w:val="21"/>
              </w:rPr>
            </w:pPr>
          </w:p>
          <w:p w14:paraId="160BC349">
            <w:pPr>
              <w:shd w:val="clear" w:color="auto" w:fill="FFFFFF"/>
              <w:rPr>
                <w:rFonts w:ascii="宋体" w:hAnsi="宋体" w:cs="宋体"/>
                <w:b/>
                <w:szCs w:val="21"/>
              </w:rPr>
            </w:pPr>
            <w:r>
              <w:rPr>
                <w:rFonts w:hint="eastAsia" w:ascii="宋体" w:hAnsi="宋体" w:cs="宋体"/>
                <w:b/>
                <w:szCs w:val="21"/>
              </w:rPr>
              <w:t>（二）评分标准：</w:t>
            </w:r>
          </w:p>
          <w:p w14:paraId="4411B04D">
            <w:pPr>
              <w:shd w:val="clear" w:color="auto" w:fill="FFFFFF"/>
              <w:rPr>
                <w:rFonts w:ascii="宋体" w:hAnsi="宋体" w:cs="宋体"/>
                <w:b/>
                <w:szCs w:val="21"/>
              </w:rPr>
            </w:pPr>
            <w:r>
              <w:rPr>
                <w:rFonts w:hint="eastAsia" w:ascii="宋体" w:hAnsi="宋体" w:cs="宋体"/>
                <w:b/>
                <w:szCs w:val="21"/>
              </w:rPr>
              <w:t>1.响应文件满足评审内容情况，本项最高得</w:t>
            </w:r>
            <w:r>
              <w:rPr>
                <w:rFonts w:hint="eastAsia" w:ascii="宋体" w:hAnsi="宋体" w:cs="宋体"/>
                <w:b/>
                <w:szCs w:val="21"/>
                <w:u w:val="single"/>
              </w:rPr>
              <w:t>3</w:t>
            </w:r>
            <w:r>
              <w:rPr>
                <w:rFonts w:hint="eastAsia" w:ascii="宋体" w:hAnsi="宋体" w:cs="宋体"/>
                <w:b/>
                <w:szCs w:val="21"/>
              </w:rPr>
              <w:t>。</w:t>
            </w:r>
          </w:p>
          <w:p w14:paraId="3F9807AE">
            <w:pPr>
              <w:shd w:val="clear" w:color="auto" w:fill="FFFFFF"/>
              <w:ind w:firstLine="478" w:firstLineChars="228"/>
              <w:rPr>
                <w:rFonts w:ascii="宋体" w:hAnsi="宋体" w:cs="宋体"/>
                <w:szCs w:val="21"/>
              </w:rPr>
            </w:pPr>
            <w:r>
              <w:rPr>
                <w:rFonts w:hint="eastAsia" w:ascii="宋体" w:hAnsi="宋体" w:cs="宋体"/>
                <w:szCs w:val="21"/>
              </w:rPr>
              <w:t>（1）每满足1点，得</w:t>
            </w:r>
            <w:r>
              <w:rPr>
                <w:rFonts w:hint="eastAsia" w:ascii="宋体" w:hAnsi="宋体" w:cs="宋体"/>
                <w:szCs w:val="21"/>
                <w:u w:val="single"/>
              </w:rPr>
              <w:t>1</w:t>
            </w:r>
            <w:r>
              <w:rPr>
                <w:rFonts w:hint="eastAsia" w:ascii="宋体" w:hAnsi="宋体" w:cs="宋体"/>
                <w:szCs w:val="21"/>
              </w:rPr>
              <w:t>分；</w:t>
            </w:r>
          </w:p>
          <w:p w14:paraId="0B1C4302">
            <w:pPr>
              <w:shd w:val="clear" w:color="auto" w:fill="FFFFFF"/>
              <w:ind w:firstLine="478" w:firstLineChars="228"/>
              <w:rPr>
                <w:rFonts w:ascii="宋体" w:hAnsi="宋体" w:cs="宋体"/>
                <w:szCs w:val="21"/>
              </w:rPr>
            </w:pPr>
            <w:r>
              <w:rPr>
                <w:rFonts w:hint="eastAsia" w:ascii="宋体" w:hAnsi="宋体" w:cs="宋体"/>
                <w:szCs w:val="21"/>
              </w:rPr>
              <w:t>（2）考察点全部满足，得</w:t>
            </w:r>
            <w:r>
              <w:rPr>
                <w:rFonts w:hint="eastAsia" w:ascii="宋体" w:hAnsi="宋体" w:cs="宋体"/>
                <w:szCs w:val="21"/>
                <w:u w:val="single"/>
              </w:rPr>
              <w:t>3</w:t>
            </w:r>
            <w:r>
              <w:rPr>
                <w:rFonts w:hint="eastAsia" w:ascii="宋体" w:hAnsi="宋体" w:cs="宋体"/>
                <w:szCs w:val="21"/>
              </w:rPr>
              <w:t>分；</w:t>
            </w:r>
          </w:p>
          <w:p w14:paraId="5242A72F">
            <w:pPr>
              <w:shd w:val="clear" w:color="auto" w:fill="FFFFFF"/>
              <w:ind w:firstLine="478" w:firstLineChars="228"/>
              <w:rPr>
                <w:rFonts w:ascii="宋体" w:hAnsi="宋体" w:cs="宋体"/>
                <w:szCs w:val="21"/>
              </w:rPr>
            </w:pPr>
            <w:r>
              <w:rPr>
                <w:rFonts w:hint="eastAsia" w:ascii="宋体" w:hAnsi="宋体" w:cs="宋体"/>
                <w:szCs w:val="21"/>
              </w:rPr>
              <w:t>（3）考察点全部不满足，不得分。</w:t>
            </w:r>
          </w:p>
          <w:p w14:paraId="3B79CC14">
            <w:pPr>
              <w:shd w:val="clear" w:color="auto" w:fill="FFFFFF"/>
              <w:rPr>
                <w:rFonts w:ascii="宋体" w:hAnsi="宋体" w:cs="宋体"/>
                <w:b/>
                <w:szCs w:val="21"/>
              </w:rPr>
            </w:pPr>
            <w:r>
              <w:rPr>
                <w:rFonts w:hint="eastAsia" w:ascii="宋体" w:hAnsi="宋体" w:cs="宋体"/>
                <w:b/>
                <w:szCs w:val="21"/>
              </w:rPr>
              <w:t>2.在此基础上，根据方案整体全面性、具体性、针对性、合理性、可操作性进行评分，本项最高加</w:t>
            </w:r>
            <w:r>
              <w:rPr>
                <w:rFonts w:hint="eastAsia" w:ascii="宋体" w:hAnsi="宋体" w:cs="宋体"/>
                <w:b/>
                <w:szCs w:val="21"/>
                <w:u w:val="single"/>
              </w:rPr>
              <w:t>3</w:t>
            </w:r>
            <w:r>
              <w:rPr>
                <w:rFonts w:hint="eastAsia" w:ascii="宋体" w:hAnsi="宋体" w:cs="宋体"/>
                <w:b/>
                <w:szCs w:val="21"/>
              </w:rPr>
              <w:t>分。</w:t>
            </w:r>
          </w:p>
          <w:p w14:paraId="4CB90532">
            <w:pPr>
              <w:shd w:val="clear" w:color="auto" w:fill="FFFFFF"/>
              <w:ind w:firstLine="480" w:firstLineChars="229"/>
              <w:rPr>
                <w:rFonts w:ascii="宋体" w:hAnsi="宋体" w:cs="宋体"/>
                <w:szCs w:val="21"/>
              </w:rPr>
            </w:pPr>
            <w:r>
              <w:rPr>
                <w:rFonts w:hint="eastAsia" w:ascii="宋体" w:hAnsi="宋体" w:cs="宋体"/>
                <w:szCs w:val="21"/>
              </w:rPr>
              <w:t>（1）响应文件内容全面；（2）响应文件内容具体；（3）响应文件内容针对性强；（4）响应文件内容科学合理；（5）响应文件内容可操作性强。</w:t>
            </w:r>
          </w:p>
          <w:p w14:paraId="31688F82">
            <w:pPr>
              <w:shd w:val="clear" w:color="auto" w:fill="FFFFFF"/>
              <w:ind w:firstLine="478" w:firstLineChars="228"/>
              <w:rPr>
                <w:rFonts w:ascii="宋体" w:hAnsi="宋体" w:cs="宋体"/>
                <w:szCs w:val="21"/>
                <w:u w:val="single"/>
              </w:rPr>
            </w:pPr>
            <w:r>
              <w:rPr>
                <w:rFonts w:hint="eastAsia" w:ascii="宋体" w:hAnsi="宋体" w:cs="宋体"/>
                <w:szCs w:val="21"/>
              </w:rPr>
              <w:t>每满足1点得</w:t>
            </w:r>
            <w:r>
              <w:rPr>
                <w:rFonts w:hint="eastAsia" w:ascii="宋体" w:hAnsi="宋体" w:cs="宋体"/>
                <w:szCs w:val="21"/>
                <w:u w:val="single"/>
              </w:rPr>
              <w:t>0.6分；</w:t>
            </w:r>
          </w:p>
          <w:p w14:paraId="735BB3E4">
            <w:pPr>
              <w:shd w:val="clear" w:color="auto" w:fill="FFFFFF"/>
              <w:ind w:firstLine="478" w:firstLineChars="228"/>
              <w:rPr>
                <w:rFonts w:ascii="宋体" w:hAnsi="宋体" w:cs="宋体"/>
                <w:szCs w:val="21"/>
              </w:rPr>
            </w:pPr>
            <w:r>
              <w:rPr>
                <w:rFonts w:hint="eastAsia" w:ascii="宋体" w:hAnsi="宋体" w:cs="宋体"/>
                <w:szCs w:val="21"/>
              </w:rPr>
              <w:t>考察点全部满足，得3分；</w:t>
            </w:r>
          </w:p>
          <w:p w14:paraId="25FA2DEF">
            <w:pPr>
              <w:shd w:val="clear" w:color="auto" w:fill="FFFFFF"/>
              <w:ind w:firstLine="478" w:firstLineChars="228"/>
              <w:rPr>
                <w:rFonts w:ascii="宋体" w:hAnsi="宋体" w:cs="宋体"/>
                <w:szCs w:val="21"/>
              </w:rPr>
            </w:pPr>
            <w:r>
              <w:rPr>
                <w:rFonts w:hint="eastAsia" w:ascii="宋体" w:hAnsi="宋体" w:cs="宋体"/>
                <w:szCs w:val="21"/>
              </w:rPr>
              <w:t>考察点全部不满足，不得分。</w:t>
            </w:r>
          </w:p>
          <w:p w14:paraId="7A268A62">
            <w:pPr>
              <w:ind w:right="-48" w:rightChars="-23"/>
              <w:jc w:val="left"/>
              <w:rPr>
                <w:rFonts w:ascii="宋体" w:hAnsi="宋体" w:cs="宋体"/>
                <w:szCs w:val="21"/>
              </w:rPr>
            </w:pPr>
            <w:r>
              <w:rPr>
                <w:rFonts w:hint="eastAsia" w:ascii="宋体" w:hAnsi="宋体" w:cs="宋体"/>
                <w:szCs w:val="21"/>
              </w:rPr>
              <w:t>其它情况不加分。如果不加分要求专家书面说明理由，并记录在档。</w:t>
            </w:r>
          </w:p>
        </w:tc>
      </w:tr>
      <w:tr w14:paraId="58D35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454" w:hRule="atLeast"/>
          <w:jc w:val="center"/>
        </w:trPr>
        <w:tc>
          <w:tcPr>
            <w:tcW w:w="696" w:type="dxa"/>
            <w:vMerge w:val="continue"/>
            <w:shd w:val="clear" w:color="auto" w:fill="auto"/>
          </w:tcPr>
          <w:p w14:paraId="4216D244">
            <w:pPr>
              <w:jc w:val="center"/>
              <w:rPr>
                <w:rFonts w:ascii="宋体" w:hAnsi="宋体" w:cs="宋体"/>
                <w:b/>
                <w:bCs/>
                <w:szCs w:val="21"/>
              </w:rPr>
            </w:pPr>
          </w:p>
        </w:tc>
        <w:tc>
          <w:tcPr>
            <w:tcW w:w="651" w:type="dxa"/>
          </w:tcPr>
          <w:p w14:paraId="0B5C1D32">
            <w:pPr>
              <w:wordWrap w:val="0"/>
              <w:jc w:val="center"/>
              <w:rPr>
                <w:rFonts w:ascii="宋体" w:hAnsi="宋体" w:cs="宋体"/>
                <w:szCs w:val="21"/>
              </w:rPr>
            </w:pPr>
            <w:r>
              <w:rPr>
                <w:rFonts w:hint="eastAsia" w:ascii="宋体" w:hAnsi="宋体" w:cs="宋体"/>
                <w:szCs w:val="21"/>
              </w:rPr>
              <w:t>3</w:t>
            </w:r>
          </w:p>
        </w:tc>
        <w:tc>
          <w:tcPr>
            <w:tcW w:w="1587" w:type="dxa"/>
          </w:tcPr>
          <w:p w14:paraId="1CB8D904">
            <w:pPr>
              <w:jc w:val="center"/>
              <w:rPr>
                <w:rFonts w:ascii="宋体" w:hAnsi="宋体" w:cs="宋体"/>
                <w:szCs w:val="21"/>
              </w:rPr>
            </w:pPr>
            <w:r>
              <w:rPr>
                <w:rFonts w:hint="eastAsia" w:ascii="宋体" w:hAnsi="宋体" w:cs="宋体"/>
                <w:szCs w:val="21"/>
              </w:rPr>
              <w:t>项目实施关键施工技术（重点难点）分析及解决方案</w:t>
            </w:r>
          </w:p>
        </w:tc>
        <w:tc>
          <w:tcPr>
            <w:tcW w:w="664" w:type="dxa"/>
          </w:tcPr>
          <w:p w14:paraId="3CF64DEA">
            <w:pPr>
              <w:spacing w:after="160"/>
              <w:jc w:val="center"/>
              <w:rPr>
                <w:rFonts w:ascii="宋体" w:hAnsi="宋体" w:cs="宋体"/>
                <w:szCs w:val="21"/>
              </w:rPr>
            </w:pPr>
            <w:r>
              <w:rPr>
                <w:rFonts w:hint="eastAsia" w:ascii="宋体" w:hAnsi="宋体" w:cs="宋体"/>
                <w:szCs w:val="21"/>
              </w:rPr>
              <w:t>8</w:t>
            </w:r>
          </w:p>
        </w:tc>
        <w:tc>
          <w:tcPr>
            <w:tcW w:w="5289" w:type="dxa"/>
          </w:tcPr>
          <w:p w14:paraId="4D47F6A8">
            <w:pPr>
              <w:ind w:right="-48" w:rightChars="-23"/>
              <w:jc w:val="left"/>
              <w:rPr>
                <w:rFonts w:ascii="宋体" w:hAnsi="宋体" w:cs="宋体"/>
                <w:b/>
                <w:szCs w:val="21"/>
              </w:rPr>
            </w:pPr>
            <w:r>
              <w:rPr>
                <w:rFonts w:hint="eastAsia" w:ascii="宋体" w:hAnsi="宋体" w:cs="宋体"/>
                <w:b/>
                <w:szCs w:val="21"/>
              </w:rPr>
              <w:t>（一）评审内容（考察点）：</w:t>
            </w:r>
          </w:p>
          <w:p w14:paraId="414D06D3">
            <w:pPr>
              <w:ind w:right="-48" w:rightChars="-23"/>
              <w:jc w:val="left"/>
              <w:rPr>
                <w:rFonts w:ascii="宋体" w:hAnsi="宋体" w:cs="宋体"/>
                <w:szCs w:val="21"/>
              </w:rPr>
            </w:pPr>
            <w:r>
              <w:rPr>
                <w:rFonts w:hint="eastAsia" w:ascii="宋体" w:hAnsi="宋体" w:cs="宋体"/>
                <w:szCs w:val="21"/>
              </w:rPr>
              <w:t>1.项目实施关键施工技术。</w:t>
            </w:r>
          </w:p>
          <w:p w14:paraId="7A451BED">
            <w:pPr>
              <w:ind w:right="-48" w:rightChars="-23"/>
              <w:jc w:val="left"/>
              <w:rPr>
                <w:rFonts w:ascii="宋体" w:hAnsi="宋体" w:cs="宋体"/>
                <w:szCs w:val="21"/>
              </w:rPr>
            </w:pPr>
            <w:r>
              <w:rPr>
                <w:rFonts w:hint="eastAsia" w:ascii="宋体" w:hAnsi="宋体" w:cs="宋体"/>
                <w:szCs w:val="21"/>
              </w:rPr>
              <w:t>2.项目的重点、难点问题深入分析并提出解决方案。</w:t>
            </w:r>
          </w:p>
          <w:p w14:paraId="7BF2DA50">
            <w:pPr>
              <w:shd w:val="clear" w:color="auto" w:fill="FFFFFF"/>
              <w:jc w:val="left"/>
              <w:rPr>
                <w:rFonts w:ascii="宋体" w:hAnsi="宋体" w:cs="宋体"/>
                <w:szCs w:val="21"/>
              </w:rPr>
            </w:pPr>
          </w:p>
          <w:p w14:paraId="2F779330">
            <w:pPr>
              <w:shd w:val="clear" w:color="auto" w:fill="FFFFFF"/>
              <w:rPr>
                <w:rFonts w:ascii="宋体" w:hAnsi="宋体" w:cs="宋体"/>
                <w:b/>
                <w:szCs w:val="21"/>
              </w:rPr>
            </w:pPr>
            <w:r>
              <w:rPr>
                <w:rFonts w:hint="eastAsia" w:ascii="宋体" w:hAnsi="宋体" w:cs="宋体"/>
                <w:b/>
                <w:szCs w:val="21"/>
              </w:rPr>
              <w:t>（二）评分标准：</w:t>
            </w:r>
          </w:p>
          <w:p w14:paraId="3AB3D262">
            <w:pPr>
              <w:shd w:val="clear" w:color="auto" w:fill="FFFFFF"/>
              <w:rPr>
                <w:rFonts w:ascii="宋体" w:hAnsi="宋体" w:cs="宋体"/>
                <w:b/>
                <w:szCs w:val="21"/>
              </w:rPr>
            </w:pPr>
            <w:r>
              <w:rPr>
                <w:rFonts w:hint="eastAsia" w:ascii="宋体" w:hAnsi="宋体" w:cs="宋体"/>
                <w:b/>
                <w:szCs w:val="21"/>
              </w:rPr>
              <w:t>1.响应文件满足评审内容情况，本项最高得</w:t>
            </w:r>
            <w:r>
              <w:rPr>
                <w:rFonts w:hint="eastAsia" w:ascii="宋体" w:hAnsi="宋体" w:cs="宋体"/>
                <w:b/>
                <w:szCs w:val="21"/>
                <w:u w:val="single"/>
              </w:rPr>
              <w:t>4</w:t>
            </w:r>
            <w:r>
              <w:rPr>
                <w:rFonts w:hint="eastAsia" w:ascii="宋体" w:hAnsi="宋体" w:cs="宋体"/>
                <w:b/>
                <w:szCs w:val="21"/>
              </w:rPr>
              <w:t>分。</w:t>
            </w:r>
          </w:p>
          <w:p w14:paraId="5541E784">
            <w:pPr>
              <w:shd w:val="clear" w:color="auto" w:fill="FFFFFF"/>
              <w:ind w:firstLine="478" w:firstLineChars="228"/>
              <w:rPr>
                <w:rFonts w:ascii="宋体" w:hAnsi="宋体" w:cs="宋体"/>
                <w:szCs w:val="21"/>
              </w:rPr>
            </w:pPr>
            <w:r>
              <w:rPr>
                <w:rFonts w:hint="eastAsia" w:ascii="宋体" w:hAnsi="宋体" w:cs="宋体"/>
                <w:szCs w:val="21"/>
              </w:rPr>
              <w:t>（1）每满足1点，得</w:t>
            </w:r>
            <w:r>
              <w:rPr>
                <w:rFonts w:hint="eastAsia" w:ascii="宋体" w:hAnsi="宋体" w:cs="宋体"/>
                <w:szCs w:val="21"/>
                <w:u w:val="single"/>
              </w:rPr>
              <w:t>2</w:t>
            </w:r>
            <w:r>
              <w:rPr>
                <w:rFonts w:hint="eastAsia" w:ascii="宋体" w:hAnsi="宋体" w:cs="宋体"/>
                <w:szCs w:val="21"/>
              </w:rPr>
              <w:t>分；</w:t>
            </w:r>
          </w:p>
          <w:p w14:paraId="07BFE171">
            <w:pPr>
              <w:shd w:val="clear" w:color="auto" w:fill="FFFFFF"/>
              <w:ind w:firstLine="478" w:firstLineChars="228"/>
              <w:rPr>
                <w:rFonts w:ascii="宋体" w:hAnsi="宋体" w:cs="宋体"/>
                <w:szCs w:val="21"/>
              </w:rPr>
            </w:pPr>
            <w:r>
              <w:rPr>
                <w:rFonts w:hint="eastAsia" w:ascii="宋体" w:hAnsi="宋体" w:cs="宋体"/>
                <w:szCs w:val="21"/>
              </w:rPr>
              <w:t>（2）考察点全部满足，得</w:t>
            </w:r>
            <w:r>
              <w:rPr>
                <w:rFonts w:hint="eastAsia" w:ascii="宋体" w:hAnsi="宋体" w:cs="宋体"/>
                <w:szCs w:val="21"/>
                <w:u w:val="single"/>
              </w:rPr>
              <w:t>4</w:t>
            </w:r>
            <w:r>
              <w:rPr>
                <w:rFonts w:hint="eastAsia" w:ascii="宋体" w:hAnsi="宋体" w:cs="宋体"/>
                <w:szCs w:val="21"/>
              </w:rPr>
              <w:t>分；</w:t>
            </w:r>
          </w:p>
          <w:p w14:paraId="3FB994B5">
            <w:pPr>
              <w:shd w:val="clear" w:color="auto" w:fill="FFFFFF"/>
              <w:ind w:firstLine="478" w:firstLineChars="228"/>
              <w:rPr>
                <w:rFonts w:ascii="宋体" w:hAnsi="宋体" w:cs="宋体"/>
                <w:szCs w:val="21"/>
              </w:rPr>
            </w:pPr>
            <w:r>
              <w:rPr>
                <w:rFonts w:hint="eastAsia" w:ascii="宋体" w:hAnsi="宋体" w:cs="宋体"/>
                <w:szCs w:val="21"/>
              </w:rPr>
              <w:t>（3）考察点全部不满足，不得分。</w:t>
            </w:r>
          </w:p>
          <w:p w14:paraId="0306A8D0">
            <w:pPr>
              <w:shd w:val="clear" w:color="auto" w:fill="FFFFFF"/>
              <w:rPr>
                <w:rFonts w:ascii="宋体" w:hAnsi="宋体" w:cs="宋体"/>
                <w:b/>
                <w:szCs w:val="21"/>
              </w:rPr>
            </w:pPr>
            <w:r>
              <w:rPr>
                <w:rFonts w:hint="eastAsia" w:ascii="宋体" w:hAnsi="宋体" w:cs="宋体"/>
                <w:b/>
                <w:szCs w:val="21"/>
              </w:rPr>
              <w:t>2.在此基础上，根据方案整体全面性、具体性、针对性、合理性、可操作性进行评分，本项最高加</w:t>
            </w:r>
            <w:r>
              <w:rPr>
                <w:rFonts w:hint="eastAsia" w:ascii="宋体" w:hAnsi="宋体" w:cs="宋体"/>
                <w:b/>
                <w:szCs w:val="21"/>
                <w:u w:val="single"/>
              </w:rPr>
              <w:t>4</w:t>
            </w:r>
            <w:r>
              <w:rPr>
                <w:rFonts w:hint="eastAsia" w:ascii="宋体" w:hAnsi="宋体" w:cs="宋体"/>
                <w:b/>
                <w:szCs w:val="21"/>
              </w:rPr>
              <w:t>分。</w:t>
            </w:r>
          </w:p>
          <w:p w14:paraId="6986BDCC">
            <w:pPr>
              <w:shd w:val="clear" w:color="auto" w:fill="FFFFFF"/>
              <w:ind w:firstLine="480" w:firstLineChars="229"/>
              <w:rPr>
                <w:rFonts w:ascii="宋体" w:hAnsi="宋体" w:cs="宋体"/>
                <w:szCs w:val="21"/>
              </w:rPr>
            </w:pPr>
            <w:r>
              <w:rPr>
                <w:rFonts w:hint="eastAsia" w:ascii="宋体" w:hAnsi="宋体" w:cs="宋体"/>
                <w:szCs w:val="21"/>
              </w:rPr>
              <w:t>（1）响应文件内容全面；（2响应文件内容具体；（3）响应文件内容针对性强；（4）响应文件内容科学合理；（5）响应文件内容可操作性强。</w:t>
            </w:r>
          </w:p>
          <w:p w14:paraId="0DF749E0">
            <w:pPr>
              <w:shd w:val="clear" w:color="auto" w:fill="FFFFFF"/>
              <w:ind w:firstLine="478" w:firstLineChars="228"/>
              <w:rPr>
                <w:rFonts w:ascii="宋体" w:hAnsi="宋体" w:cs="宋体"/>
                <w:szCs w:val="21"/>
                <w:u w:val="single"/>
              </w:rPr>
            </w:pPr>
            <w:r>
              <w:rPr>
                <w:rFonts w:hint="eastAsia" w:ascii="宋体" w:hAnsi="宋体" w:cs="宋体"/>
                <w:szCs w:val="21"/>
              </w:rPr>
              <w:t>每满足1点得</w:t>
            </w:r>
            <w:r>
              <w:rPr>
                <w:rFonts w:hint="eastAsia" w:ascii="宋体" w:hAnsi="宋体" w:cs="宋体"/>
                <w:szCs w:val="21"/>
                <w:u w:val="single"/>
              </w:rPr>
              <w:t>0.8分；</w:t>
            </w:r>
          </w:p>
          <w:p w14:paraId="01A9AD8F">
            <w:pPr>
              <w:shd w:val="clear" w:color="auto" w:fill="FFFFFF"/>
              <w:ind w:firstLine="478" w:firstLineChars="228"/>
              <w:rPr>
                <w:rFonts w:ascii="宋体" w:hAnsi="宋体" w:cs="宋体"/>
                <w:szCs w:val="21"/>
              </w:rPr>
            </w:pPr>
            <w:r>
              <w:rPr>
                <w:rFonts w:hint="eastAsia" w:ascii="宋体" w:hAnsi="宋体" w:cs="宋体"/>
                <w:szCs w:val="21"/>
              </w:rPr>
              <w:t>考察点全部满足，得4分；</w:t>
            </w:r>
          </w:p>
          <w:p w14:paraId="101D9F11">
            <w:pPr>
              <w:shd w:val="clear" w:color="auto" w:fill="FFFFFF"/>
              <w:ind w:firstLine="478" w:firstLineChars="228"/>
              <w:rPr>
                <w:rFonts w:ascii="宋体" w:hAnsi="宋体" w:cs="宋体"/>
                <w:szCs w:val="21"/>
              </w:rPr>
            </w:pPr>
            <w:r>
              <w:rPr>
                <w:rFonts w:hint="eastAsia" w:ascii="宋体" w:hAnsi="宋体" w:cs="宋体"/>
                <w:szCs w:val="21"/>
              </w:rPr>
              <w:t>考察点全部不满足，不得分。</w:t>
            </w:r>
          </w:p>
          <w:p w14:paraId="75DDE89D">
            <w:pPr>
              <w:ind w:right="-48" w:rightChars="-23"/>
              <w:jc w:val="left"/>
              <w:rPr>
                <w:rFonts w:ascii="宋体" w:hAnsi="宋体" w:cs="宋体"/>
                <w:szCs w:val="21"/>
              </w:rPr>
            </w:pPr>
            <w:r>
              <w:rPr>
                <w:rFonts w:hint="eastAsia" w:ascii="宋体" w:hAnsi="宋体" w:cs="宋体"/>
                <w:szCs w:val="21"/>
              </w:rPr>
              <w:t>其它情况不加分。如果不加分要求专家书面说明理由，并记录在档。</w:t>
            </w:r>
          </w:p>
        </w:tc>
      </w:tr>
      <w:tr w14:paraId="474B4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454" w:hRule="atLeast"/>
          <w:jc w:val="center"/>
        </w:trPr>
        <w:tc>
          <w:tcPr>
            <w:tcW w:w="696" w:type="dxa"/>
            <w:vMerge w:val="continue"/>
            <w:shd w:val="clear" w:color="auto" w:fill="auto"/>
          </w:tcPr>
          <w:p w14:paraId="0AC3D72E">
            <w:pPr>
              <w:jc w:val="center"/>
              <w:rPr>
                <w:rFonts w:ascii="宋体" w:hAnsi="宋体" w:cs="宋体"/>
                <w:b/>
                <w:bCs/>
                <w:szCs w:val="21"/>
              </w:rPr>
            </w:pPr>
          </w:p>
        </w:tc>
        <w:tc>
          <w:tcPr>
            <w:tcW w:w="651" w:type="dxa"/>
          </w:tcPr>
          <w:p w14:paraId="45303650">
            <w:pPr>
              <w:wordWrap w:val="0"/>
              <w:jc w:val="center"/>
              <w:rPr>
                <w:rFonts w:ascii="宋体" w:hAnsi="宋体" w:cs="宋体"/>
                <w:szCs w:val="21"/>
              </w:rPr>
            </w:pPr>
            <w:r>
              <w:rPr>
                <w:rFonts w:hint="eastAsia" w:ascii="宋体" w:hAnsi="宋体" w:cs="宋体"/>
                <w:szCs w:val="21"/>
              </w:rPr>
              <w:t>4</w:t>
            </w:r>
          </w:p>
        </w:tc>
        <w:tc>
          <w:tcPr>
            <w:tcW w:w="1587" w:type="dxa"/>
          </w:tcPr>
          <w:p w14:paraId="511C9532">
            <w:pPr>
              <w:jc w:val="center"/>
              <w:rPr>
                <w:rFonts w:ascii="宋体" w:hAnsi="宋体" w:cs="宋体"/>
                <w:szCs w:val="21"/>
              </w:rPr>
            </w:pPr>
            <w:r>
              <w:rPr>
                <w:rFonts w:hint="eastAsia" w:ascii="宋体" w:hAnsi="宋体" w:cs="宋体"/>
                <w:szCs w:val="21"/>
              </w:rPr>
              <w:t>拟采用材料的节能环保情况、档次及质量可靠性</w:t>
            </w:r>
          </w:p>
        </w:tc>
        <w:tc>
          <w:tcPr>
            <w:tcW w:w="664" w:type="dxa"/>
          </w:tcPr>
          <w:p w14:paraId="6CF14C4F">
            <w:pPr>
              <w:spacing w:after="160"/>
              <w:jc w:val="center"/>
              <w:rPr>
                <w:rFonts w:ascii="宋体" w:hAnsi="宋体" w:cs="宋体"/>
                <w:szCs w:val="21"/>
              </w:rPr>
            </w:pPr>
            <w:r>
              <w:rPr>
                <w:rFonts w:hint="eastAsia" w:ascii="宋体" w:hAnsi="宋体" w:cs="宋体"/>
                <w:szCs w:val="21"/>
              </w:rPr>
              <w:t>8</w:t>
            </w:r>
          </w:p>
        </w:tc>
        <w:tc>
          <w:tcPr>
            <w:tcW w:w="5289" w:type="dxa"/>
          </w:tcPr>
          <w:p w14:paraId="2E3AC3F8">
            <w:pPr>
              <w:widowControl/>
              <w:jc w:val="left"/>
              <w:rPr>
                <w:rFonts w:ascii="宋体" w:hAnsi="宋体" w:cs="宋体"/>
                <w:b/>
                <w:szCs w:val="21"/>
              </w:rPr>
            </w:pPr>
            <w:r>
              <w:rPr>
                <w:rFonts w:hint="eastAsia" w:ascii="宋体" w:hAnsi="宋体" w:cs="宋体"/>
                <w:b/>
                <w:szCs w:val="21"/>
              </w:rPr>
              <w:t>（一）评审内容（考察点）：</w:t>
            </w:r>
          </w:p>
          <w:p w14:paraId="2904F738">
            <w:pPr>
              <w:widowControl/>
              <w:jc w:val="left"/>
              <w:rPr>
                <w:rFonts w:ascii="宋体" w:hAnsi="宋体" w:cs="宋体"/>
                <w:szCs w:val="21"/>
              </w:rPr>
            </w:pPr>
            <w:r>
              <w:rPr>
                <w:rFonts w:hint="eastAsia" w:ascii="宋体" w:hAnsi="宋体" w:cs="宋体"/>
                <w:szCs w:val="21"/>
              </w:rPr>
              <w:t>1.材料质量可靠。</w:t>
            </w:r>
          </w:p>
          <w:p w14:paraId="325EF1A8">
            <w:pPr>
              <w:widowControl/>
              <w:jc w:val="left"/>
              <w:rPr>
                <w:rFonts w:ascii="宋体" w:hAnsi="宋体" w:cs="宋体"/>
                <w:szCs w:val="21"/>
              </w:rPr>
            </w:pPr>
            <w:r>
              <w:rPr>
                <w:rFonts w:hint="eastAsia" w:ascii="宋体" w:hAnsi="宋体" w:cs="宋体"/>
                <w:szCs w:val="21"/>
              </w:rPr>
              <w:t>2.响应国家节能环保政策情况。</w:t>
            </w:r>
          </w:p>
          <w:p w14:paraId="7EBB27C5">
            <w:pPr>
              <w:shd w:val="clear" w:color="auto" w:fill="FFFFFF"/>
              <w:rPr>
                <w:rFonts w:ascii="宋体" w:hAnsi="宋体" w:cs="宋体"/>
                <w:szCs w:val="21"/>
              </w:rPr>
            </w:pPr>
          </w:p>
          <w:p w14:paraId="550B7B50">
            <w:pPr>
              <w:shd w:val="clear" w:color="auto" w:fill="FFFFFF"/>
              <w:rPr>
                <w:rFonts w:ascii="宋体" w:hAnsi="宋体" w:cs="宋体"/>
                <w:b/>
                <w:szCs w:val="21"/>
              </w:rPr>
            </w:pPr>
            <w:r>
              <w:rPr>
                <w:rFonts w:hint="eastAsia" w:ascii="宋体" w:hAnsi="宋体" w:cs="宋体"/>
                <w:b/>
                <w:szCs w:val="21"/>
              </w:rPr>
              <w:t>（二）评分标准：</w:t>
            </w:r>
          </w:p>
          <w:p w14:paraId="5230908E">
            <w:pPr>
              <w:shd w:val="clear" w:color="auto" w:fill="FFFFFF"/>
              <w:rPr>
                <w:rFonts w:ascii="宋体" w:hAnsi="宋体" w:cs="宋体"/>
                <w:b/>
                <w:szCs w:val="21"/>
              </w:rPr>
            </w:pPr>
            <w:r>
              <w:rPr>
                <w:rFonts w:hint="eastAsia" w:ascii="宋体" w:hAnsi="宋体" w:cs="宋体"/>
                <w:b/>
                <w:szCs w:val="21"/>
              </w:rPr>
              <w:t>1.响应文件满足评审内容情况，本项最高得</w:t>
            </w:r>
            <w:r>
              <w:rPr>
                <w:rFonts w:hint="eastAsia" w:ascii="宋体" w:hAnsi="宋体" w:cs="宋体"/>
                <w:b/>
                <w:szCs w:val="21"/>
                <w:u w:val="single"/>
              </w:rPr>
              <w:t>4</w:t>
            </w:r>
            <w:r>
              <w:rPr>
                <w:rFonts w:hint="eastAsia" w:ascii="宋体" w:hAnsi="宋体" w:cs="宋体"/>
                <w:b/>
                <w:szCs w:val="21"/>
              </w:rPr>
              <w:t>分。</w:t>
            </w:r>
          </w:p>
          <w:p w14:paraId="04741EE7">
            <w:pPr>
              <w:shd w:val="clear" w:color="auto" w:fill="FFFFFF"/>
              <w:ind w:firstLine="478" w:firstLineChars="228"/>
              <w:rPr>
                <w:rFonts w:ascii="宋体" w:hAnsi="宋体" w:cs="宋体"/>
                <w:szCs w:val="21"/>
              </w:rPr>
            </w:pPr>
            <w:r>
              <w:rPr>
                <w:rFonts w:hint="eastAsia" w:ascii="宋体" w:hAnsi="宋体" w:cs="宋体"/>
                <w:szCs w:val="21"/>
              </w:rPr>
              <w:t>（1）每满足1点，得</w:t>
            </w:r>
            <w:r>
              <w:rPr>
                <w:rFonts w:hint="eastAsia" w:ascii="宋体" w:hAnsi="宋体" w:cs="宋体"/>
                <w:szCs w:val="21"/>
                <w:u w:val="single"/>
              </w:rPr>
              <w:t>2</w:t>
            </w:r>
            <w:r>
              <w:rPr>
                <w:rFonts w:hint="eastAsia" w:ascii="宋体" w:hAnsi="宋体" w:cs="宋体"/>
                <w:szCs w:val="21"/>
              </w:rPr>
              <w:t>分；</w:t>
            </w:r>
          </w:p>
          <w:p w14:paraId="60941561">
            <w:pPr>
              <w:shd w:val="clear" w:color="auto" w:fill="FFFFFF"/>
              <w:ind w:firstLine="478" w:firstLineChars="228"/>
              <w:rPr>
                <w:rFonts w:ascii="宋体" w:hAnsi="宋体" w:cs="宋体"/>
                <w:szCs w:val="21"/>
              </w:rPr>
            </w:pPr>
            <w:r>
              <w:rPr>
                <w:rFonts w:hint="eastAsia" w:ascii="宋体" w:hAnsi="宋体" w:cs="宋体"/>
                <w:szCs w:val="21"/>
              </w:rPr>
              <w:t>（2）考察点全部满足，得</w:t>
            </w:r>
            <w:r>
              <w:rPr>
                <w:rFonts w:hint="eastAsia" w:ascii="宋体" w:hAnsi="宋体" w:cs="宋体"/>
                <w:szCs w:val="21"/>
                <w:u w:val="single"/>
              </w:rPr>
              <w:t>4</w:t>
            </w:r>
            <w:r>
              <w:rPr>
                <w:rFonts w:hint="eastAsia" w:ascii="宋体" w:hAnsi="宋体" w:cs="宋体"/>
                <w:szCs w:val="21"/>
              </w:rPr>
              <w:t>分；</w:t>
            </w:r>
          </w:p>
          <w:p w14:paraId="53DCDAB6">
            <w:pPr>
              <w:shd w:val="clear" w:color="auto" w:fill="FFFFFF"/>
              <w:ind w:firstLine="478" w:firstLineChars="228"/>
              <w:rPr>
                <w:rFonts w:ascii="宋体" w:hAnsi="宋体" w:cs="宋体"/>
                <w:szCs w:val="21"/>
              </w:rPr>
            </w:pPr>
            <w:r>
              <w:rPr>
                <w:rFonts w:hint="eastAsia" w:ascii="宋体" w:hAnsi="宋体" w:cs="宋体"/>
                <w:szCs w:val="21"/>
              </w:rPr>
              <w:t>（3）考察点全部不满足，不得分。</w:t>
            </w:r>
          </w:p>
          <w:p w14:paraId="36C6460A">
            <w:pPr>
              <w:shd w:val="clear" w:color="auto" w:fill="FFFFFF"/>
              <w:rPr>
                <w:rFonts w:ascii="宋体" w:hAnsi="宋体" w:cs="宋体"/>
                <w:b/>
                <w:szCs w:val="21"/>
              </w:rPr>
            </w:pPr>
            <w:r>
              <w:rPr>
                <w:rFonts w:hint="eastAsia" w:ascii="宋体" w:hAnsi="宋体" w:cs="宋体"/>
                <w:b/>
                <w:szCs w:val="21"/>
              </w:rPr>
              <w:t>2.在此基础上，根据方案整体全面性、具体性、针对性、合理性、可操作性进行评分，本项最高加</w:t>
            </w:r>
            <w:r>
              <w:rPr>
                <w:rFonts w:hint="eastAsia" w:ascii="宋体" w:hAnsi="宋体" w:cs="宋体"/>
                <w:b/>
                <w:szCs w:val="21"/>
                <w:u w:val="single"/>
              </w:rPr>
              <w:t>4</w:t>
            </w:r>
            <w:r>
              <w:rPr>
                <w:rFonts w:hint="eastAsia" w:ascii="宋体" w:hAnsi="宋体" w:cs="宋体"/>
                <w:b/>
                <w:szCs w:val="21"/>
              </w:rPr>
              <w:t>分。</w:t>
            </w:r>
          </w:p>
          <w:p w14:paraId="6B62F46A">
            <w:pPr>
              <w:shd w:val="clear" w:color="auto" w:fill="FFFFFF"/>
              <w:ind w:firstLine="480" w:firstLineChars="229"/>
              <w:rPr>
                <w:rFonts w:ascii="宋体" w:hAnsi="宋体" w:cs="宋体"/>
                <w:szCs w:val="21"/>
              </w:rPr>
            </w:pPr>
            <w:r>
              <w:rPr>
                <w:rFonts w:hint="eastAsia" w:ascii="宋体" w:hAnsi="宋体" w:cs="宋体"/>
                <w:szCs w:val="21"/>
              </w:rPr>
              <w:t>（1）响应文件响应内容全面；（2）响应文件内容具体；（3）响应文件内容针对性强；（4）响应文件内容科学合理；（5）响应文件内容可操作性强。</w:t>
            </w:r>
          </w:p>
          <w:p w14:paraId="035B4D55">
            <w:pPr>
              <w:shd w:val="clear" w:color="auto" w:fill="FFFFFF"/>
              <w:ind w:firstLine="478" w:firstLineChars="228"/>
              <w:rPr>
                <w:rFonts w:ascii="宋体" w:hAnsi="宋体" w:cs="宋体"/>
                <w:szCs w:val="21"/>
                <w:u w:val="single"/>
              </w:rPr>
            </w:pPr>
            <w:r>
              <w:rPr>
                <w:rFonts w:hint="eastAsia" w:ascii="宋体" w:hAnsi="宋体" w:cs="宋体"/>
                <w:szCs w:val="21"/>
              </w:rPr>
              <w:t>每满足1点得</w:t>
            </w:r>
            <w:r>
              <w:rPr>
                <w:rFonts w:hint="eastAsia" w:ascii="宋体" w:hAnsi="宋体" w:cs="宋体"/>
                <w:szCs w:val="21"/>
                <w:u w:val="single"/>
              </w:rPr>
              <w:t>0.8分；</w:t>
            </w:r>
          </w:p>
          <w:p w14:paraId="2740F042">
            <w:pPr>
              <w:shd w:val="clear" w:color="auto" w:fill="FFFFFF"/>
              <w:ind w:firstLine="478" w:firstLineChars="228"/>
              <w:rPr>
                <w:rFonts w:ascii="宋体" w:hAnsi="宋体" w:cs="宋体"/>
                <w:szCs w:val="21"/>
              </w:rPr>
            </w:pPr>
            <w:r>
              <w:rPr>
                <w:rFonts w:hint="eastAsia" w:ascii="宋体" w:hAnsi="宋体" w:cs="宋体"/>
                <w:szCs w:val="21"/>
              </w:rPr>
              <w:t>考察点全部满足，得4分；</w:t>
            </w:r>
          </w:p>
          <w:p w14:paraId="4CA6EEBE">
            <w:pPr>
              <w:shd w:val="clear" w:color="auto" w:fill="FFFFFF"/>
              <w:ind w:firstLine="478" w:firstLineChars="228"/>
              <w:rPr>
                <w:rFonts w:ascii="宋体" w:hAnsi="宋体" w:cs="宋体"/>
                <w:szCs w:val="21"/>
              </w:rPr>
            </w:pPr>
            <w:r>
              <w:rPr>
                <w:rFonts w:hint="eastAsia" w:ascii="宋体" w:hAnsi="宋体" w:cs="宋体"/>
                <w:szCs w:val="21"/>
              </w:rPr>
              <w:t>考察点全部不满足，不得分。</w:t>
            </w:r>
          </w:p>
          <w:p w14:paraId="1DE8466E">
            <w:pPr>
              <w:ind w:right="-48" w:rightChars="-23"/>
              <w:jc w:val="left"/>
              <w:rPr>
                <w:rFonts w:ascii="宋体" w:hAnsi="宋体" w:cs="宋体"/>
                <w:szCs w:val="21"/>
              </w:rPr>
            </w:pPr>
            <w:r>
              <w:rPr>
                <w:rFonts w:hint="eastAsia" w:ascii="宋体" w:hAnsi="宋体" w:cs="宋体"/>
                <w:szCs w:val="21"/>
              </w:rPr>
              <w:t>其它情况不加分。如果不加分要求专家书面说明理由，并记录在档。</w:t>
            </w:r>
          </w:p>
        </w:tc>
      </w:tr>
      <w:tr w14:paraId="221CD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454" w:hRule="atLeast"/>
          <w:jc w:val="center"/>
        </w:trPr>
        <w:tc>
          <w:tcPr>
            <w:tcW w:w="696" w:type="dxa"/>
            <w:vMerge w:val="continue"/>
            <w:shd w:val="clear" w:color="auto" w:fill="auto"/>
          </w:tcPr>
          <w:p w14:paraId="5E387F2C">
            <w:pPr>
              <w:jc w:val="center"/>
              <w:rPr>
                <w:rFonts w:ascii="宋体" w:hAnsi="宋体" w:cs="宋体"/>
                <w:b/>
                <w:bCs/>
                <w:szCs w:val="21"/>
              </w:rPr>
            </w:pPr>
          </w:p>
        </w:tc>
        <w:tc>
          <w:tcPr>
            <w:tcW w:w="651" w:type="dxa"/>
          </w:tcPr>
          <w:p w14:paraId="225EB6BE">
            <w:pPr>
              <w:wordWrap w:val="0"/>
              <w:jc w:val="center"/>
              <w:rPr>
                <w:rFonts w:ascii="宋体" w:hAnsi="宋体" w:cs="宋体"/>
                <w:szCs w:val="21"/>
              </w:rPr>
            </w:pPr>
            <w:r>
              <w:rPr>
                <w:rFonts w:hint="eastAsia" w:ascii="宋体" w:hAnsi="宋体" w:cs="宋体"/>
                <w:szCs w:val="21"/>
              </w:rPr>
              <w:t>5</w:t>
            </w:r>
          </w:p>
        </w:tc>
        <w:tc>
          <w:tcPr>
            <w:tcW w:w="1587" w:type="dxa"/>
          </w:tcPr>
          <w:p w14:paraId="49FE9F2D">
            <w:pPr>
              <w:jc w:val="center"/>
              <w:rPr>
                <w:rFonts w:ascii="宋体" w:hAnsi="宋体" w:cs="宋体"/>
                <w:szCs w:val="21"/>
              </w:rPr>
            </w:pPr>
            <w:r>
              <w:rPr>
                <w:rFonts w:hint="eastAsia" w:ascii="宋体" w:hAnsi="宋体" w:cs="宋体"/>
                <w:szCs w:val="21"/>
              </w:rPr>
              <w:t>施工质量（安全、环保、工期、售后服务）保障措施及相关的违约承诺</w:t>
            </w:r>
          </w:p>
        </w:tc>
        <w:tc>
          <w:tcPr>
            <w:tcW w:w="664" w:type="dxa"/>
          </w:tcPr>
          <w:p w14:paraId="1AE9472D">
            <w:pPr>
              <w:spacing w:after="160"/>
              <w:jc w:val="center"/>
              <w:rPr>
                <w:rFonts w:ascii="宋体" w:hAnsi="宋体" w:cs="宋体"/>
                <w:szCs w:val="21"/>
              </w:rPr>
            </w:pPr>
            <w:r>
              <w:rPr>
                <w:rFonts w:hint="eastAsia" w:ascii="宋体" w:hAnsi="宋体" w:cs="宋体"/>
                <w:szCs w:val="21"/>
              </w:rPr>
              <w:t>10</w:t>
            </w:r>
          </w:p>
        </w:tc>
        <w:tc>
          <w:tcPr>
            <w:tcW w:w="5289" w:type="dxa"/>
          </w:tcPr>
          <w:p w14:paraId="4B840705">
            <w:pPr>
              <w:rPr>
                <w:rFonts w:ascii="宋体" w:hAnsi="宋体" w:cs="宋体"/>
                <w:b/>
                <w:szCs w:val="21"/>
              </w:rPr>
            </w:pPr>
            <w:r>
              <w:rPr>
                <w:rFonts w:hint="eastAsia" w:ascii="宋体" w:hAnsi="宋体" w:cs="宋体"/>
                <w:b/>
                <w:szCs w:val="21"/>
              </w:rPr>
              <w:t>（一）评审内容（考察点）：</w:t>
            </w:r>
          </w:p>
          <w:p w14:paraId="6ED38757">
            <w:pPr>
              <w:rPr>
                <w:rFonts w:ascii="宋体" w:hAnsi="宋体" w:cs="宋体"/>
                <w:szCs w:val="21"/>
              </w:rPr>
            </w:pPr>
            <w:r>
              <w:rPr>
                <w:rFonts w:hint="eastAsia" w:ascii="宋体" w:hAnsi="宋体" w:cs="宋体"/>
                <w:szCs w:val="21"/>
              </w:rPr>
              <w:t>1.施工质量的保障措施。</w:t>
            </w:r>
          </w:p>
          <w:p w14:paraId="4F7F1D86">
            <w:pPr>
              <w:rPr>
                <w:rFonts w:ascii="宋体" w:hAnsi="宋体" w:cs="宋体"/>
                <w:szCs w:val="21"/>
              </w:rPr>
            </w:pPr>
            <w:r>
              <w:rPr>
                <w:rFonts w:hint="eastAsia" w:ascii="宋体" w:hAnsi="宋体" w:cs="宋体"/>
                <w:szCs w:val="21"/>
              </w:rPr>
              <w:t>2.施工安全的保障措施。</w:t>
            </w:r>
          </w:p>
          <w:p w14:paraId="1E75D39C">
            <w:pPr>
              <w:rPr>
                <w:rFonts w:ascii="宋体" w:hAnsi="宋体" w:cs="宋体"/>
                <w:szCs w:val="21"/>
              </w:rPr>
            </w:pPr>
            <w:r>
              <w:rPr>
                <w:rFonts w:hint="eastAsia" w:ascii="宋体" w:hAnsi="宋体" w:cs="宋体"/>
                <w:szCs w:val="21"/>
              </w:rPr>
              <w:t>3.环保保障措施。</w:t>
            </w:r>
          </w:p>
          <w:p w14:paraId="55870774">
            <w:pPr>
              <w:rPr>
                <w:rFonts w:ascii="宋体" w:hAnsi="宋体" w:cs="宋体"/>
                <w:szCs w:val="21"/>
              </w:rPr>
            </w:pPr>
            <w:r>
              <w:rPr>
                <w:rFonts w:hint="eastAsia" w:ascii="宋体" w:hAnsi="宋体" w:cs="宋体"/>
                <w:szCs w:val="21"/>
              </w:rPr>
              <w:t>4.工程进度计划和工期保障措施。</w:t>
            </w:r>
          </w:p>
          <w:p w14:paraId="3355DBA4">
            <w:pPr>
              <w:rPr>
                <w:rFonts w:ascii="宋体" w:hAnsi="宋体" w:cs="宋体"/>
                <w:szCs w:val="21"/>
              </w:rPr>
            </w:pPr>
            <w:r>
              <w:rPr>
                <w:rFonts w:hint="eastAsia" w:ascii="宋体" w:hAnsi="宋体" w:cs="宋体"/>
                <w:szCs w:val="21"/>
              </w:rPr>
              <w:t>5.售后服务保障措施。</w:t>
            </w:r>
          </w:p>
          <w:p w14:paraId="0C15966F">
            <w:pPr>
              <w:rPr>
                <w:rFonts w:ascii="宋体" w:hAnsi="宋体" w:cs="宋体"/>
                <w:szCs w:val="21"/>
              </w:rPr>
            </w:pPr>
            <w:r>
              <w:rPr>
                <w:rFonts w:hint="eastAsia" w:ascii="宋体" w:hAnsi="宋体" w:cs="宋体"/>
                <w:szCs w:val="21"/>
              </w:rPr>
              <w:t>6.相关违约承诺。</w:t>
            </w:r>
          </w:p>
          <w:p w14:paraId="0EE5B258">
            <w:pPr>
              <w:rPr>
                <w:rFonts w:ascii="宋体" w:hAnsi="宋体" w:cs="宋体"/>
                <w:szCs w:val="21"/>
              </w:rPr>
            </w:pPr>
          </w:p>
          <w:p w14:paraId="49BDF139">
            <w:pPr>
              <w:shd w:val="clear" w:color="auto" w:fill="FFFFFF"/>
              <w:rPr>
                <w:rFonts w:ascii="宋体" w:hAnsi="宋体" w:cs="宋体"/>
                <w:b/>
                <w:szCs w:val="21"/>
              </w:rPr>
            </w:pPr>
            <w:r>
              <w:rPr>
                <w:rFonts w:hint="eastAsia" w:ascii="宋体" w:hAnsi="宋体" w:cs="宋体"/>
                <w:b/>
                <w:szCs w:val="21"/>
              </w:rPr>
              <w:t>（二）评分标准：</w:t>
            </w:r>
          </w:p>
          <w:p w14:paraId="6DED8C39">
            <w:pPr>
              <w:shd w:val="clear" w:color="auto" w:fill="FFFFFF"/>
              <w:rPr>
                <w:rFonts w:ascii="宋体" w:hAnsi="宋体" w:cs="宋体"/>
                <w:b/>
                <w:szCs w:val="21"/>
              </w:rPr>
            </w:pPr>
            <w:r>
              <w:rPr>
                <w:rFonts w:hint="eastAsia" w:ascii="宋体" w:hAnsi="宋体" w:cs="宋体"/>
                <w:b/>
                <w:szCs w:val="21"/>
              </w:rPr>
              <w:t>1.响应文件满足评审内容情况，本项最高得</w:t>
            </w:r>
            <w:r>
              <w:rPr>
                <w:rFonts w:hint="eastAsia" w:ascii="宋体" w:hAnsi="宋体" w:cs="宋体"/>
                <w:b/>
                <w:szCs w:val="21"/>
                <w:u w:val="single"/>
              </w:rPr>
              <w:t>6</w:t>
            </w:r>
            <w:r>
              <w:rPr>
                <w:rFonts w:hint="eastAsia" w:ascii="宋体" w:hAnsi="宋体" w:cs="宋体"/>
                <w:b/>
                <w:szCs w:val="21"/>
              </w:rPr>
              <w:t>分。</w:t>
            </w:r>
          </w:p>
          <w:p w14:paraId="62B66E27">
            <w:pPr>
              <w:shd w:val="clear" w:color="auto" w:fill="FFFFFF"/>
              <w:ind w:firstLine="478" w:firstLineChars="228"/>
              <w:rPr>
                <w:rFonts w:ascii="宋体" w:hAnsi="宋体" w:cs="宋体"/>
                <w:szCs w:val="21"/>
              </w:rPr>
            </w:pPr>
            <w:r>
              <w:rPr>
                <w:rFonts w:hint="eastAsia" w:ascii="宋体" w:hAnsi="宋体" w:cs="宋体"/>
                <w:szCs w:val="21"/>
              </w:rPr>
              <w:t>（1）每满足1点，得</w:t>
            </w:r>
            <w:r>
              <w:rPr>
                <w:rFonts w:hint="eastAsia" w:ascii="宋体" w:hAnsi="宋体" w:cs="宋体"/>
                <w:szCs w:val="21"/>
                <w:u w:val="single"/>
              </w:rPr>
              <w:t>1</w:t>
            </w:r>
            <w:r>
              <w:rPr>
                <w:rFonts w:hint="eastAsia" w:ascii="宋体" w:hAnsi="宋体" w:cs="宋体"/>
                <w:szCs w:val="21"/>
              </w:rPr>
              <w:t>分；</w:t>
            </w:r>
          </w:p>
          <w:p w14:paraId="5F0884F0">
            <w:pPr>
              <w:shd w:val="clear" w:color="auto" w:fill="FFFFFF"/>
              <w:ind w:firstLine="478" w:firstLineChars="228"/>
              <w:rPr>
                <w:rFonts w:ascii="宋体" w:hAnsi="宋体" w:cs="宋体"/>
                <w:szCs w:val="21"/>
              </w:rPr>
            </w:pPr>
            <w:r>
              <w:rPr>
                <w:rFonts w:hint="eastAsia" w:ascii="宋体" w:hAnsi="宋体" w:cs="宋体"/>
                <w:szCs w:val="21"/>
              </w:rPr>
              <w:t>（2）考察点全部满足，得</w:t>
            </w:r>
            <w:r>
              <w:rPr>
                <w:rFonts w:hint="eastAsia" w:ascii="宋体" w:hAnsi="宋体" w:cs="宋体"/>
                <w:szCs w:val="21"/>
                <w:u w:val="single"/>
              </w:rPr>
              <w:t>6</w:t>
            </w:r>
            <w:r>
              <w:rPr>
                <w:rFonts w:hint="eastAsia" w:ascii="宋体" w:hAnsi="宋体" w:cs="宋体"/>
                <w:szCs w:val="21"/>
              </w:rPr>
              <w:t>分，；</w:t>
            </w:r>
          </w:p>
          <w:p w14:paraId="4ED61B4A">
            <w:pPr>
              <w:shd w:val="clear" w:color="auto" w:fill="FFFFFF"/>
              <w:ind w:firstLine="478" w:firstLineChars="228"/>
              <w:rPr>
                <w:rFonts w:ascii="宋体" w:hAnsi="宋体" w:cs="宋体"/>
                <w:szCs w:val="21"/>
              </w:rPr>
            </w:pPr>
            <w:r>
              <w:rPr>
                <w:rFonts w:hint="eastAsia" w:ascii="宋体" w:hAnsi="宋体" w:cs="宋体"/>
                <w:szCs w:val="21"/>
              </w:rPr>
              <w:t>（3）考察点全部不满足，不得分。</w:t>
            </w:r>
          </w:p>
          <w:p w14:paraId="4C968A5F">
            <w:pPr>
              <w:shd w:val="clear" w:color="auto" w:fill="FFFFFF"/>
              <w:rPr>
                <w:rFonts w:ascii="宋体" w:hAnsi="宋体" w:cs="宋体"/>
                <w:b/>
                <w:szCs w:val="21"/>
              </w:rPr>
            </w:pPr>
            <w:r>
              <w:rPr>
                <w:rFonts w:hint="eastAsia" w:ascii="宋体" w:hAnsi="宋体" w:cs="宋体"/>
                <w:b/>
                <w:szCs w:val="21"/>
              </w:rPr>
              <w:t>2.在此基础上，根据方案整体全面性、具体性、针对性、合理性、可操作性进行评分，本项最高加</w:t>
            </w:r>
            <w:r>
              <w:rPr>
                <w:rFonts w:hint="eastAsia" w:ascii="宋体" w:hAnsi="宋体" w:cs="宋体"/>
                <w:b/>
                <w:szCs w:val="21"/>
                <w:u w:val="single"/>
              </w:rPr>
              <w:t>4</w:t>
            </w:r>
            <w:r>
              <w:rPr>
                <w:rFonts w:hint="eastAsia" w:ascii="宋体" w:hAnsi="宋体" w:cs="宋体"/>
                <w:b/>
                <w:szCs w:val="21"/>
              </w:rPr>
              <w:t>分。</w:t>
            </w:r>
          </w:p>
          <w:p w14:paraId="6C089944">
            <w:pPr>
              <w:shd w:val="clear" w:color="auto" w:fill="FFFFFF"/>
              <w:ind w:firstLine="480" w:firstLineChars="229"/>
              <w:rPr>
                <w:rFonts w:ascii="宋体" w:hAnsi="宋体" w:cs="宋体"/>
                <w:szCs w:val="21"/>
              </w:rPr>
            </w:pPr>
            <w:r>
              <w:rPr>
                <w:rFonts w:hint="eastAsia" w:ascii="宋体" w:hAnsi="宋体" w:cs="宋体"/>
                <w:szCs w:val="21"/>
              </w:rPr>
              <w:t>（1）响应文件内容全面；（2）响应文件内容具体；（3）响应文件内容针对性强；（4）响应文件内容科学合理；（5）响应文件内容可操作性强。</w:t>
            </w:r>
          </w:p>
          <w:p w14:paraId="23B81784">
            <w:pPr>
              <w:shd w:val="clear" w:color="auto" w:fill="FFFFFF"/>
              <w:ind w:firstLine="478" w:firstLineChars="228"/>
              <w:rPr>
                <w:rFonts w:ascii="宋体" w:hAnsi="宋体" w:cs="宋体"/>
                <w:szCs w:val="21"/>
                <w:u w:val="single"/>
              </w:rPr>
            </w:pPr>
            <w:r>
              <w:rPr>
                <w:rFonts w:hint="eastAsia" w:ascii="宋体" w:hAnsi="宋体" w:cs="宋体"/>
                <w:szCs w:val="21"/>
              </w:rPr>
              <w:t>每满足1点得</w:t>
            </w:r>
            <w:r>
              <w:rPr>
                <w:rFonts w:hint="eastAsia" w:ascii="宋体" w:hAnsi="宋体" w:cs="宋体"/>
                <w:szCs w:val="21"/>
                <w:u w:val="single"/>
              </w:rPr>
              <w:t>0.8分；</w:t>
            </w:r>
          </w:p>
          <w:p w14:paraId="00008454">
            <w:pPr>
              <w:shd w:val="clear" w:color="auto" w:fill="FFFFFF"/>
              <w:ind w:firstLine="478" w:firstLineChars="228"/>
              <w:rPr>
                <w:rFonts w:ascii="宋体" w:hAnsi="宋体" w:cs="宋体"/>
                <w:szCs w:val="21"/>
              </w:rPr>
            </w:pPr>
            <w:r>
              <w:rPr>
                <w:rFonts w:hint="eastAsia" w:ascii="宋体" w:hAnsi="宋体" w:cs="宋体"/>
                <w:szCs w:val="21"/>
              </w:rPr>
              <w:t>考察点全部满足，得4分；</w:t>
            </w:r>
          </w:p>
          <w:p w14:paraId="69172AB9">
            <w:pPr>
              <w:shd w:val="clear" w:color="auto" w:fill="FFFFFF"/>
              <w:ind w:firstLine="478" w:firstLineChars="228"/>
              <w:rPr>
                <w:rFonts w:ascii="宋体" w:hAnsi="宋体" w:cs="宋体"/>
                <w:szCs w:val="21"/>
              </w:rPr>
            </w:pPr>
            <w:r>
              <w:rPr>
                <w:rFonts w:hint="eastAsia" w:ascii="宋体" w:hAnsi="宋体" w:cs="宋体"/>
                <w:szCs w:val="21"/>
              </w:rPr>
              <w:t>考察点全部不满足，不得分。</w:t>
            </w:r>
          </w:p>
          <w:p w14:paraId="13089F05">
            <w:pPr>
              <w:ind w:right="-48" w:rightChars="-23"/>
              <w:jc w:val="left"/>
              <w:rPr>
                <w:rFonts w:ascii="宋体" w:hAnsi="宋体" w:cs="宋体"/>
                <w:szCs w:val="21"/>
              </w:rPr>
            </w:pPr>
            <w:r>
              <w:rPr>
                <w:rFonts w:hint="eastAsia" w:ascii="宋体" w:hAnsi="宋体" w:cs="宋体"/>
                <w:szCs w:val="21"/>
              </w:rPr>
              <w:t>其它情况不加分。如果不加分要求专家书面说明理由，并记录在档。</w:t>
            </w:r>
          </w:p>
        </w:tc>
      </w:tr>
      <w:tr w14:paraId="3519A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567" w:hRule="atLeast"/>
          <w:jc w:val="center"/>
        </w:trPr>
        <w:tc>
          <w:tcPr>
            <w:tcW w:w="696" w:type="dxa"/>
            <w:vAlign w:val="center"/>
          </w:tcPr>
          <w:p w14:paraId="63DEEFAD">
            <w:pPr>
              <w:wordWrap w:val="0"/>
              <w:jc w:val="center"/>
              <w:rPr>
                <w:rFonts w:ascii="宋体" w:hAnsi="宋体" w:cs="宋体"/>
                <w:b/>
                <w:bCs/>
                <w:szCs w:val="21"/>
              </w:rPr>
            </w:pPr>
            <w:r>
              <w:rPr>
                <w:rFonts w:hint="eastAsia" w:ascii="宋体" w:hAnsi="宋体" w:cs="宋体"/>
                <w:b/>
                <w:bCs/>
                <w:szCs w:val="21"/>
              </w:rPr>
              <w:t>3</w:t>
            </w:r>
          </w:p>
        </w:tc>
        <w:tc>
          <w:tcPr>
            <w:tcW w:w="2902" w:type="dxa"/>
            <w:gridSpan w:val="3"/>
            <w:vAlign w:val="center"/>
          </w:tcPr>
          <w:p w14:paraId="2A912973">
            <w:pPr>
              <w:wordWrap w:val="0"/>
              <w:jc w:val="center"/>
              <w:rPr>
                <w:rFonts w:ascii="宋体" w:hAnsi="宋体" w:cs="宋体"/>
                <w:b/>
                <w:bCs/>
                <w:szCs w:val="21"/>
              </w:rPr>
            </w:pPr>
            <w:r>
              <w:rPr>
                <w:rFonts w:hint="eastAsia" w:ascii="宋体" w:hAnsi="宋体" w:cs="宋体"/>
                <w:b/>
                <w:bCs/>
                <w:szCs w:val="21"/>
              </w:rPr>
              <w:t>综合实力部分</w:t>
            </w:r>
          </w:p>
        </w:tc>
        <w:tc>
          <w:tcPr>
            <w:tcW w:w="5289" w:type="dxa"/>
            <w:vAlign w:val="center"/>
          </w:tcPr>
          <w:p w14:paraId="1CF8F080">
            <w:pPr>
              <w:wordWrap w:val="0"/>
              <w:jc w:val="center"/>
              <w:rPr>
                <w:rFonts w:ascii="宋体" w:hAnsi="宋体" w:cs="宋体"/>
                <w:b/>
                <w:bCs/>
                <w:szCs w:val="21"/>
              </w:rPr>
            </w:pPr>
            <w:r>
              <w:rPr>
                <w:rFonts w:hint="eastAsia" w:ascii="宋体" w:hAnsi="宋体" w:cs="宋体"/>
                <w:b/>
                <w:bCs/>
                <w:szCs w:val="21"/>
              </w:rPr>
              <w:t>23</w:t>
            </w:r>
          </w:p>
        </w:tc>
      </w:tr>
      <w:tr w14:paraId="3895C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454" w:hRule="atLeast"/>
          <w:jc w:val="center"/>
        </w:trPr>
        <w:tc>
          <w:tcPr>
            <w:tcW w:w="696" w:type="dxa"/>
            <w:vMerge w:val="restart"/>
            <w:shd w:val="clear" w:color="auto" w:fill="auto"/>
          </w:tcPr>
          <w:p w14:paraId="0B2F4CE1">
            <w:pPr>
              <w:jc w:val="center"/>
              <w:rPr>
                <w:rFonts w:ascii="宋体" w:hAnsi="宋体" w:cs="宋体"/>
                <w:b/>
                <w:bCs/>
                <w:szCs w:val="21"/>
              </w:rPr>
            </w:pPr>
          </w:p>
        </w:tc>
        <w:tc>
          <w:tcPr>
            <w:tcW w:w="651" w:type="dxa"/>
            <w:shd w:val="clear" w:color="auto" w:fill="auto"/>
            <w:vAlign w:val="center"/>
          </w:tcPr>
          <w:p w14:paraId="12549AAB">
            <w:pPr>
              <w:shd w:val="clear" w:color="auto" w:fill="FFFFFF"/>
              <w:wordWrap w:val="0"/>
              <w:ind w:left="-29" w:leftChars="-14" w:right="-115" w:rightChars="-55"/>
              <w:jc w:val="center"/>
              <w:rPr>
                <w:rFonts w:ascii="宋体" w:hAnsi="宋体" w:cs="宋体"/>
                <w:b/>
                <w:szCs w:val="21"/>
              </w:rPr>
            </w:pPr>
            <w:r>
              <w:rPr>
                <w:rFonts w:hint="eastAsia" w:ascii="宋体" w:hAnsi="宋体" w:cs="宋体"/>
                <w:b/>
                <w:szCs w:val="21"/>
              </w:rPr>
              <w:t>序号</w:t>
            </w:r>
          </w:p>
        </w:tc>
        <w:tc>
          <w:tcPr>
            <w:tcW w:w="1587" w:type="dxa"/>
            <w:shd w:val="clear" w:color="auto" w:fill="auto"/>
            <w:vAlign w:val="center"/>
          </w:tcPr>
          <w:p w14:paraId="45BED73C">
            <w:pPr>
              <w:shd w:val="clear" w:color="auto" w:fill="FFFFFF"/>
              <w:wordWrap w:val="0"/>
              <w:jc w:val="center"/>
              <w:rPr>
                <w:rFonts w:ascii="宋体" w:hAnsi="宋体" w:cs="宋体"/>
                <w:b/>
                <w:szCs w:val="21"/>
              </w:rPr>
            </w:pPr>
            <w:r>
              <w:rPr>
                <w:rFonts w:hint="eastAsia" w:ascii="宋体" w:hAnsi="宋体" w:cs="宋体"/>
                <w:b/>
                <w:szCs w:val="21"/>
              </w:rPr>
              <w:t>评分因素</w:t>
            </w:r>
          </w:p>
        </w:tc>
        <w:tc>
          <w:tcPr>
            <w:tcW w:w="664" w:type="dxa"/>
            <w:shd w:val="clear" w:color="auto" w:fill="auto"/>
            <w:vAlign w:val="center"/>
          </w:tcPr>
          <w:p w14:paraId="33A66A36">
            <w:pPr>
              <w:shd w:val="clear" w:color="auto" w:fill="FFFFFF"/>
              <w:wordWrap w:val="0"/>
              <w:jc w:val="center"/>
              <w:rPr>
                <w:rFonts w:ascii="宋体" w:hAnsi="宋体" w:cs="宋体"/>
                <w:b/>
                <w:szCs w:val="21"/>
              </w:rPr>
            </w:pPr>
            <w:r>
              <w:rPr>
                <w:rFonts w:hint="eastAsia" w:ascii="宋体" w:hAnsi="宋体" w:cs="宋体"/>
                <w:b/>
                <w:bCs/>
                <w:szCs w:val="21"/>
              </w:rPr>
              <w:t>分值</w:t>
            </w:r>
          </w:p>
        </w:tc>
        <w:tc>
          <w:tcPr>
            <w:tcW w:w="5289" w:type="dxa"/>
            <w:shd w:val="clear" w:color="auto" w:fill="auto"/>
            <w:vAlign w:val="center"/>
          </w:tcPr>
          <w:p w14:paraId="6FD6A9FF">
            <w:pPr>
              <w:shd w:val="clear" w:color="auto" w:fill="FFFFFF"/>
              <w:wordWrap w:val="0"/>
              <w:jc w:val="center"/>
              <w:rPr>
                <w:rFonts w:ascii="宋体" w:hAnsi="宋体" w:cs="宋体"/>
                <w:b/>
                <w:szCs w:val="21"/>
              </w:rPr>
            </w:pPr>
            <w:r>
              <w:rPr>
                <w:rFonts w:hint="eastAsia" w:ascii="宋体" w:hAnsi="宋体" w:cs="宋体"/>
                <w:b/>
                <w:szCs w:val="21"/>
              </w:rPr>
              <w:t>评分准则</w:t>
            </w:r>
          </w:p>
        </w:tc>
      </w:tr>
      <w:tr w14:paraId="289FB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454" w:hRule="atLeast"/>
          <w:jc w:val="center"/>
        </w:trPr>
        <w:tc>
          <w:tcPr>
            <w:tcW w:w="696" w:type="dxa"/>
            <w:vMerge w:val="continue"/>
            <w:shd w:val="clear" w:color="auto" w:fill="auto"/>
          </w:tcPr>
          <w:p w14:paraId="7303D65A">
            <w:pPr>
              <w:jc w:val="center"/>
              <w:rPr>
                <w:rFonts w:ascii="宋体" w:hAnsi="宋体" w:cs="宋体"/>
                <w:b/>
                <w:bCs/>
                <w:szCs w:val="21"/>
              </w:rPr>
            </w:pPr>
          </w:p>
        </w:tc>
        <w:tc>
          <w:tcPr>
            <w:tcW w:w="651" w:type="dxa"/>
          </w:tcPr>
          <w:p w14:paraId="4E92FC48">
            <w:pPr>
              <w:wordWrap w:val="0"/>
              <w:jc w:val="center"/>
              <w:rPr>
                <w:rFonts w:ascii="宋体" w:hAnsi="宋体" w:cs="宋体"/>
                <w:szCs w:val="21"/>
              </w:rPr>
            </w:pPr>
            <w:r>
              <w:rPr>
                <w:rFonts w:hint="eastAsia" w:ascii="宋体" w:hAnsi="宋体" w:cs="宋体"/>
                <w:szCs w:val="21"/>
              </w:rPr>
              <w:t>1</w:t>
            </w:r>
          </w:p>
        </w:tc>
        <w:tc>
          <w:tcPr>
            <w:tcW w:w="1587" w:type="dxa"/>
          </w:tcPr>
          <w:p w14:paraId="311C5103">
            <w:pPr>
              <w:wordWrap w:val="0"/>
              <w:jc w:val="center"/>
              <w:rPr>
                <w:rFonts w:ascii="宋体" w:hAnsi="宋体" w:cs="宋体"/>
                <w:szCs w:val="21"/>
              </w:rPr>
            </w:pPr>
            <w:r>
              <w:rPr>
                <w:rFonts w:hint="eastAsia" w:ascii="宋体" w:hAnsi="宋体" w:cs="宋体"/>
                <w:szCs w:val="21"/>
              </w:rPr>
              <w:t>供应商同类项目业绩情况</w:t>
            </w:r>
          </w:p>
        </w:tc>
        <w:tc>
          <w:tcPr>
            <w:tcW w:w="664" w:type="dxa"/>
          </w:tcPr>
          <w:p w14:paraId="5470B07E">
            <w:pPr>
              <w:spacing w:after="160"/>
              <w:jc w:val="center"/>
              <w:rPr>
                <w:rFonts w:ascii="宋体" w:hAnsi="宋体" w:cs="宋体"/>
                <w:szCs w:val="21"/>
              </w:rPr>
            </w:pPr>
            <w:r>
              <w:rPr>
                <w:rFonts w:hint="eastAsia" w:ascii="宋体" w:hAnsi="宋体" w:cs="宋体"/>
                <w:szCs w:val="21"/>
              </w:rPr>
              <w:t>5</w:t>
            </w:r>
          </w:p>
        </w:tc>
        <w:tc>
          <w:tcPr>
            <w:tcW w:w="5289" w:type="dxa"/>
          </w:tcPr>
          <w:p w14:paraId="751DCDE3">
            <w:pPr>
              <w:shd w:val="clear" w:color="auto" w:fill="FFFFFF"/>
              <w:jc w:val="left"/>
              <w:rPr>
                <w:rFonts w:ascii="宋体" w:hAnsi="宋体" w:cs="宋体"/>
                <w:b/>
                <w:szCs w:val="21"/>
              </w:rPr>
            </w:pPr>
            <w:r>
              <w:rPr>
                <w:rFonts w:hint="eastAsia" w:ascii="宋体" w:hAnsi="宋体" w:cs="宋体"/>
                <w:b/>
                <w:szCs w:val="21"/>
              </w:rPr>
              <w:t>（一）评分内容：</w:t>
            </w:r>
          </w:p>
          <w:p w14:paraId="26386E32">
            <w:pPr>
              <w:shd w:val="clear" w:color="auto" w:fill="FFFFFF"/>
              <w:wordWrap w:val="0"/>
              <w:rPr>
                <w:rFonts w:ascii="宋体" w:hAnsi="宋体" w:cs="宋体"/>
                <w:szCs w:val="21"/>
              </w:rPr>
            </w:pPr>
            <w:r>
              <w:rPr>
                <w:rFonts w:hint="eastAsia" w:ascii="宋体" w:hAnsi="宋体" w:cs="宋体"/>
                <w:szCs w:val="21"/>
              </w:rPr>
              <w:t>1.20</w:t>
            </w:r>
            <w:r>
              <w:rPr>
                <w:rFonts w:hint="eastAsia" w:ascii="宋体" w:hAnsi="宋体" w:cs="宋体"/>
                <w:szCs w:val="21"/>
                <w:u w:val="single"/>
              </w:rPr>
              <w:t>22</w:t>
            </w:r>
            <w:r>
              <w:rPr>
                <w:rFonts w:hint="eastAsia" w:ascii="宋体" w:hAnsi="宋体" w:cs="宋体"/>
                <w:szCs w:val="21"/>
              </w:rPr>
              <w:t>年</w:t>
            </w:r>
            <w:r>
              <w:rPr>
                <w:rFonts w:hint="eastAsia" w:ascii="宋体" w:hAnsi="宋体" w:cs="宋体"/>
                <w:szCs w:val="21"/>
                <w:u w:val="single"/>
              </w:rPr>
              <w:t>9</w:t>
            </w:r>
            <w:r>
              <w:rPr>
                <w:rFonts w:hint="eastAsia" w:ascii="宋体" w:hAnsi="宋体" w:cs="宋体"/>
                <w:szCs w:val="21"/>
              </w:rPr>
              <w:t>月</w:t>
            </w:r>
            <w:r>
              <w:rPr>
                <w:rFonts w:hint="eastAsia" w:ascii="宋体" w:hAnsi="宋体" w:cs="宋体"/>
                <w:szCs w:val="21"/>
                <w:u w:val="single"/>
              </w:rPr>
              <w:t>1</w:t>
            </w:r>
            <w:r>
              <w:rPr>
                <w:rFonts w:hint="eastAsia" w:ascii="宋体" w:hAnsi="宋体" w:cs="宋体"/>
                <w:szCs w:val="21"/>
              </w:rPr>
              <w:t>日至今具有</w:t>
            </w:r>
            <w:r>
              <w:rPr>
                <w:rFonts w:hint="eastAsia" w:ascii="宋体" w:hAnsi="宋体" w:cs="宋体"/>
                <w:szCs w:val="21"/>
                <w:u w:val="single"/>
              </w:rPr>
              <w:t xml:space="preserve"> 同类 </w:t>
            </w:r>
            <w:r>
              <w:rPr>
                <w:rFonts w:hint="eastAsia" w:ascii="宋体" w:hAnsi="宋体" w:cs="宋体"/>
                <w:szCs w:val="21"/>
              </w:rPr>
              <w:t>业绩，每具有1项有效业绩得</w:t>
            </w:r>
            <w:r>
              <w:rPr>
                <w:rFonts w:hint="eastAsia" w:ascii="宋体" w:hAnsi="宋体" w:cs="宋体"/>
                <w:szCs w:val="21"/>
                <w:u w:val="single"/>
              </w:rPr>
              <w:t>1</w:t>
            </w:r>
            <w:r>
              <w:rPr>
                <w:rFonts w:hint="eastAsia" w:ascii="宋体" w:hAnsi="宋体" w:cs="宋体"/>
                <w:szCs w:val="21"/>
              </w:rPr>
              <w:t>分，本项最高得</w:t>
            </w:r>
            <w:r>
              <w:rPr>
                <w:rFonts w:hint="eastAsia" w:ascii="宋体" w:hAnsi="宋体" w:cs="宋体"/>
                <w:szCs w:val="21"/>
                <w:u w:val="single"/>
              </w:rPr>
              <w:t>5</w:t>
            </w:r>
            <w:r>
              <w:rPr>
                <w:rFonts w:hint="eastAsia" w:ascii="宋体" w:hAnsi="宋体" w:cs="宋体"/>
                <w:szCs w:val="21"/>
              </w:rPr>
              <w:t>分。</w:t>
            </w:r>
          </w:p>
          <w:p w14:paraId="574DF094">
            <w:pPr>
              <w:shd w:val="clear" w:color="auto" w:fill="FFFFFF"/>
              <w:jc w:val="left"/>
              <w:rPr>
                <w:rFonts w:ascii="宋体" w:hAnsi="宋体" w:cs="宋体"/>
                <w:b/>
                <w:szCs w:val="21"/>
              </w:rPr>
            </w:pPr>
          </w:p>
          <w:p w14:paraId="41DCBE4C">
            <w:pPr>
              <w:shd w:val="clear" w:color="auto" w:fill="FFFFFF"/>
              <w:jc w:val="left"/>
              <w:rPr>
                <w:rFonts w:ascii="宋体" w:hAnsi="宋体" w:cs="宋体"/>
                <w:b/>
                <w:szCs w:val="21"/>
              </w:rPr>
            </w:pPr>
            <w:r>
              <w:rPr>
                <w:rFonts w:hint="eastAsia" w:ascii="宋体" w:hAnsi="宋体" w:cs="宋体"/>
                <w:b/>
                <w:szCs w:val="21"/>
              </w:rPr>
              <w:t>（二）评分依据：</w:t>
            </w:r>
          </w:p>
          <w:p w14:paraId="07B841DA">
            <w:pPr>
              <w:shd w:val="clear" w:color="auto" w:fill="FFFFFF"/>
              <w:jc w:val="left"/>
              <w:rPr>
                <w:rFonts w:ascii="宋体" w:hAnsi="宋体" w:cs="宋体"/>
                <w:szCs w:val="21"/>
              </w:rPr>
            </w:pPr>
            <w:r>
              <w:rPr>
                <w:rFonts w:hint="eastAsia" w:ascii="宋体" w:hAnsi="宋体" w:cs="宋体"/>
                <w:szCs w:val="21"/>
              </w:rPr>
              <w:t>1.要求供应商提供相关证明资料作为得分依据。评分中出现无证明资料或专家无法凭所提供资料判断是否得分的情况，一律作不得分处理。</w:t>
            </w:r>
          </w:p>
          <w:p w14:paraId="6CC33B02">
            <w:pPr>
              <w:shd w:val="clear" w:color="auto" w:fill="FFFFFF"/>
              <w:jc w:val="left"/>
              <w:rPr>
                <w:rFonts w:ascii="宋体" w:hAnsi="宋体" w:cs="宋体"/>
                <w:szCs w:val="21"/>
              </w:rPr>
            </w:pPr>
            <w:r>
              <w:rPr>
                <w:rFonts w:hint="eastAsia" w:ascii="宋体" w:hAnsi="宋体" w:cs="宋体"/>
                <w:szCs w:val="21"/>
              </w:rPr>
              <w:t>2.业绩必须为已验收（或履约评价）合格及以上的业绩，业绩时间以项目验收或履约评价时间为准。</w:t>
            </w:r>
          </w:p>
          <w:p w14:paraId="732C8AFB">
            <w:pPr>
              <w:shd w:val="clear" w:color="auto" w:fill="FFFFFF"/>
              <w:jc w:val="left"/>
              <w:rPr>
                <w:rFonts w:ascii="宋体" w:hAnsi="宋体" w:cs="宋体"/>
                <w:szCs w:val="21"/>
              </w:rPr>
            </w:pPr>
            <w:r>
              <w:rPr>
                <w:rFonts w:hint="eastAsia" w:ascii="宋体" w:hAnsi="宋体" w:cs="宋体"/>
                <w:szCs w:val="21"/>
              </w:rPr>
              <w:t>3.要求同时提供合同关键信息和项目验收（或履约评价）证明文件作为得分依据，项目验收（或履约评价）证明文件需加盖合同甲方公章（或甲方业务章）。</w:t>
            </w:r>
          </w:p>
          <w:p w14:paraId="18AEE0B6">
            <w:pPr>
              <w:shd w:val="clear" w:color="auto" w:fill="FFFFFF"/>
              <w:jc w:val="left"/>
              <w:rPr>
                <w:rFonts w:ascii="宋体" w:hAnsi="宋体" w:cs="宋体"/>
                <w:szCs w:val="21"/>
              </w:rPr>
            </w:pPr>
            <w:r>
              <w:rPr>
                <w:rFonts w:hint="eastAsia" w:ascii="宋体" w:hAnsi="宋体" w:cs="宋体"/>
                <w:szCs w:val="21"/>
              </w:rPr>
              <w:t>4.通过合同关键信息无法判断是否得分的，也可以提供能证明得分的其它证明资料，如项目报告或合同甲方出具的证明文件等。</w:t>
            </w:r>
          </w:p>
          <w:p w14:paraId="1B3F4A6F">
            <w:pPr>
              <w:shd w:val="clear" w:color="auto" w:fill="FFFFFF"/>
              <w:jc w:val="left"/>
              <w:rPr>
                <w:rFonts w:ascii="宋体" w:hAnsi="宋体" w:cs="宋体"/>
                <w:szCs w:val="21"/>
              </w:rPr>
            </w:pPr>
            <w:r>
              <w:rPr>
                <w:rFonts w:hint="eastAsia" w:ascii="宋体" w:hAnsi="宋体" w:cs="宋体"/>
                <w:szCs w:val="21"/>
              </w:rPr>
              <w:t>5.以上资料均要求提供扫描件，原件备查。</w:t>
            </w:r>
          </w:p>
        </w:tc>
      </w:tr>
      <w:tr w14:paraId="6486F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0" w:type="dxa"/>
            <w:left w:w="108" w:type="dxa"/>
            <w:bottom w:w="20" w:type="dxa"/>
            <w:right w:w="108" w:type="dxa"/>
          </w:tblCellMar>
        </w:tblPrEx>
        <w:trPr>
          <w:trHeight w:val="454" w:hRule="atLeast"/>
          <w:jc w:val="center"/>
        </w:trPr>
        <w:tc>
          <w:tcPr>
            <w:tcW w:w="696" w:type="dxa"/>
            <w:vMerge w:val="continue"/>
            <w:shd w:val="clear" w:color="auto" w:fill="auto"/>
          </w:tcPr>
          <w:p w14:paraId="50501385">
            <w:pPr>
              <w:jc w:val="center"/>
              <w:rPr>
                <w:rFonts w:ascii="宋体" w:hAnsi="宋体" w:cs="宋体"/>
                <w:b/>
                <w:bCs/>
                <w:szCs w:val="21"/>
              </w:rPr>
            </w:pPr>
          </w:p>
        </w:tc>
        <w:tc>
          <w:tcPr>
            <w:tcW w:w="651" w:type="dxa"/>
          </w:tcPr>
          <w:p w14:paraId="1ED69644">
            <w:pPr>
              <w:wordWrap w:val="0"/>
              <w:jc w:val="center"/>
              <w:rPr>
                <w:rFonts w:ascii="宋体" w:hAnsi="宋体" w:cs="宋体"/>
                <w:szCs w:val="21"/>
              </w:rPr>
            </w:pPr>
            <w:r>
              <w:rPr>
                <w:rFonts w:hint="eastAsia" w:ascii="宋体" w:hAnsi="宋体" w:cs="宋体"/>
                <w:szCs w:val="21"/>
              </w:rPr>
              <w:t>2</w:t>
            </w:r>
          </w:p>
        </w:tc>
        <w:tc>
          <w:tcPr>
            <w:tcW w:w="1587" w:type="dxa"/>
          </w:tcPr>
          <w:p w14:paraId="5731BEAF">
            <w:pPr>
              <w:jc w:val="center"/>
              <w:rPr>
                <w:rFonts w:ascii="宋体" w:hAnsi="宋体" w:cs="宋体"/>
                <w:szCs w:val="21"/>
              </w:rPr>
            </w:pPr>
            <w:r>
              <w:rPr>
                <w:rFonts w:hint="eastAsia" w:ascii="宋体" w:hAnsi="宋体" w:cs="宋体"/>
                <w:szCs w:val="21"/>
              </w:rPr>
              <w:t>拟投入劳动力（项目经理、技术人员、管理班子、机械设备、场地）情况</w:t>
            </w:r>
          </w:p>
        </w:tc>
        <w:tc>
          <w:tcPr>
            <w:tcW w:w="664" w:type="dxa"/>
          </w:tcPr>
          <w:p w14:paraId="7DD6D6B2">
            <w:pPr>
              <w:spacing w:after="160"/>
              <w:jc w:val="center"/>
              <w:rPr>
                <w:rFonts w:ascii="宋体" w:hAnsi="宋体" w:cs="宋体"/>
                <w:szCs w:val="21"/>
              </w:rPr>
            </w:pPr>
            <w:r>
              <w:rPr>
                <w:rFonts w:hint="eastAsia" w:ascii="宋体" w:hAnsi="宋体" w:cs="宋体"/>
                <w:bCs/>
                <w:szCs w:val="21"/>
              </w:rPr>
              <w:t>18</w:t>
            </w:r>
          </w:p>
        </w:tc>
        <w:tc>
          <w:tcPr>
            <w:tcW w:w="5289" w:type="dxa"/>
            <w:shd w:val="clear" w:color="auto" w:fill="auto"/>
            <w:vAlign w:val="center"/>
          </w:tcPr>
          <w:p w14:paraId="73547F11">
            <w:pPr>
              <w:shd w:val="clear" w:color="auto" w:fill="FFFFFF"/>
              <w:jc w:val="left"/>
              <w:rPr>
                <w:rFonts w:ascii="宋体" w:hAnsi="宋体" w:cs="宋体"/>
                <w:b/>
                <w:szCs w:val="21"/>
              </w:rPr>
            </w:pPr>
            <w:r>
              <w:rPr>
                <w:rFonts w:hint="eastAsia" w:ascii="宋体" w:hAnsi="宋体" w:cs="宋体"/>
                <w:b/>
                <w:szCs w:val="21"/>
              </w:rPr>
              <w:t>（一）评分内容：</w:t>
            </w:r>
          </w:p>
          <w:p w14:paraId="17CCCE79">
            <w:pPr>
              <w:shd w:val="clear" w:color="auto" w:fill="FFFFFF"/>
              <w:jc w:val="left"/>
              <w:rPr>
                <w:rFonts w:ascii="宋体" w:hAnsi="宋体" w:cs="宋体"/>
                <w:szCs w:val="21"/>
              </w:rPr>
            </w:pPr>
            <w:r>
              <w:rPr>
                <w:rFonts w:hint="eastAsia" w:ascii="宋体" w:hAnsi="宋体" w:cs="宋体"/>
                <w:szCs w:val="21"/>
              </w:rPr>
              <w:t>拟投入的项目人员为供应商员工，提供承诺，否则本项不得分。</w:t>
            </w:r>
          </w:p>
          <w:p w14:paraId="53C229DF">
            <w:pPr>
              <w:shd w:val="clear" w:color="auto" w:fill="FFFFFF"/>
              <w:jc w:val="left"/>
              <w:rPr>
                <w:rFonts w:ascii="宋体" w:hAnsi="宋体" w:cs="宋体"/>
                <w:b/>
                <w:bCs/>
                <w:szCs w:val="21"/>
              </w:rPr>
            </w:pPr>
            <w:r>
              <w:rPr>
                <w:rFonts w:hint="eastAsia" w:ascii="宋体" w:hAnsi="宋体" w:cs="宋体"/>
                <w:b/>
                <w:bCs/>
                <w:szCs w:val="21"/>
              </w:rPr>
              <w:t xml:space="preserve">1.项目经理情况（不能与技术负责人为同一人，仅限1人），本项最高得4分。 </w:t>
            </w:r>
          </w:p>
          <w:p w14:paraId="5DB553DB">
            <w:pPr>
              <w:shd w:val="clear" w:color="auto" w:fill="FFFFFF"/>
              <w:jc w:val="left"/>
              <w:rPr>
                <w:rFonts w:ascii="宋体" w:hAnsi="宋体" w:cs="宋体"/>
                <w:szCs w:val="21"/>
              </w:rPr>
            </w:pPr>
            <w:r>
              <w:rPr>
                <w:rFonts w:hint="eastAsia" w:ascii="宋体" w:hAnsi="宋体" w:cs="宋体"/>
                <w:szCs w:val="21"/>
              </w:rPr>
              <w:t>（1）具有建筑工程类副高级工程师及以上职称得</w:t>
            </w:r>
            <w:r>
              <w:rPr>
                <w:rFonts w:hint="eastAsia" w:ascii="宋体" w:hAnsi="宋体" w:cs="宋体"/>
                <w:szCs w:val="21"/>
                <w:u w:val="single"/>
              </w:rPr>
              <w:t>2</w:t>
            </w:r>
            <w:r>
              <w:rPr>
                <w:rFonts w:hint="eastAsia" w:ascii="宋体" w:hAnsi="宋体" w:cs="宋体"/>
                <w:szCs w:val="21"/>
              </w:rPr>
              <w:t>分，其他不得分，本小项最高得</w:t>
            </w:r>
            <w:r>
              <w:rPr>
                <w:rFonts w:hint="eastAsia" w:ascii="宋体" w:hAnsi="宋体" w:cs="宋体"/>
                <w:szCs w:val="21"/>
                <w:u w:val="single"/>
              </w:rPr>
              <w:t>2</w:t>
            </w:r>
            <w:r>
              <w:rPr>
                <w:rFonts w:hint="eastAsia" w:ascii="宋体" w:hAnsi="宋体" w:cs="宋体"/>
                <w:szCs w:val="21"/>
              </w:rPr>
              <w:t>分。</w:t>
            </w:r>
          </w:p>
          <w:p w14:paraId="30AFD795">
            <w:pPr>
              <w:shd w:val="clear" w:color="auto" w:fill="FFFFFF"/>
              <w:jc w:val="left"/>
              <w:rPr>
                <w:rFonts w:ascii="宋体" w:hAnsi="宋体" w:cs="宋体"/>
                <w:szCs w:val="21"/>
              </w:rPr>
            </w:pPr>
            <w:r>
              <w:rPr>
                <w:rFonts w:hint="eastAsia" w:ascii="宋体" w:hAnsi="宋体" w:cs="宋体"/>
                <w:szCs w:val="21"/>
              </w:rPr>
              <w:t>（2）具有同类项目经验且担任项目经理的得</w:t>
            </w:r>
            <w:r>
              <w:rPr>
                <w:rFonts w:hint="eastAsia" w:ascii="宋体" w:hAnsi="宋体" w:cs="宋体"/>
                <w:szCs w:val="21"/>
                <w:u w:val="single"/>
              </w:rPr>
              <w:t>2</w:t>
            </w:r>
            <w:r>
              <w:rPr>
                <w:rFonts w:hint="eastAsia" w:ascii="宋体" w:hAnsi="宋体" w:cs="宋体"/>
                <w:szCs w:val="21"/>
              </w:rPr>
              <w:t>分。</w:t>
            </w:r>
          </w:p>
          <w:p w14:paraId="62B188B3">
            <w:pPr>
              <w:shd w:val="clear" w:color="auto" w:fill="FFFFFF"/>
              <w:jc w:val="left"/>
              <w:rPr>
                <w:rFonts w:ascii="宋体" w:hAnsi="宋体" w:cs="宋体"/>
                <w:b/>
                <w:bCs/>
                <w:szCs w:val="21"/>
              </w:rPr>
            </w:pPr>
            <w:r>
              <w:rPr>
                <w:rFonts w:hint="eastAsia" w:ascii="宋体" w:hAnsi="宋体" w:cs="宋体"/>
                <w:b/>
                <w:bCs/>
                <w:szCs w:val="21"/>
              </w:rPr>
              <w:t>2.技术负责人情况（不能与项目经理为同一人，仅限1人），本项最高得</w:t>
            </w:r>
            <w:r>
              <w:rPr>
                <w:rFonts w:hint="eastAsia" w:ascii="宋体" w:hAnsi="宋体" w:cs="宋体"/>
                <w:b/>
                <w:bCs/>
                <w:szCs w:val="21"/>
                <w:u w:val="single"/>
              </w:rPr>
              <w:t>4</w:t>
            </w:r>
            <w:r>
              <w:rPr>
                <w:rFonts w:hint="eastAsia" w:ascii="宋体" w:hAnsi="宋体" w:cs="宋体"/>
                <w:b/>
                <w:bCs/>
                <w:szCs w:val="21"/>
              </w:rPr>
              <w:t>分。</w:t>
            </w:r>
          </w:p>
          <w:p w14:paraId="36469ECA">
            <w:pPr>
              <w:shd w:val="clear" w:color="auto" w:fill="FFFFFF"/>
              <w:jc w:val="left"/>
              <w:rPr>
                <w:rFonts w:ascii="宋体" w:hAnsi="宋体" w:cs="宋体"/>
                <w:szCs w:val="21"/>
              </w:rPr>
            </w:pPr>
            <w:r>
              <w:rPr>
                <w:rFonts w:hint="eastAsia" w:ascii="宋体" w:hAnsi="宋体" w:cs="宋体"/>
                <w:szCs w:val="21"/>
              </w:rPr>
              <w:t>（1）具有建筑工程类副高级工程师及以上职称得2分，其他不得分，本小项最高得</w:t>
            </w:r>
            <w:r>
              <w:rPr>
                <w:rFonts w:hint="eastAsia" w:ascii="宋体" w:hAnsi="宋体" w:cs="宋体"/>
                <w:szCs w:val="21"/>
                <w:u w:val="single"/>
              </w:rPr>
              <w:t>2</w:t>
            </w:r>
            <w:r>
              <w:rPr>
                <w:rFonts w:hint="eastAsia" w:ascii="宋体" w:hAnsi="宋体" w:cs="宋体"/>
                <w:szCs w:val="21"/>
              </w:rPr>
              <w:t>分。</w:t>
            </w:r>
          </w:p>
          <w:p w14:paraId="064E66A8">
            <w:pPr>
              <w:shd w:val="clear" w:color="auto" w:fill="FFFFFF"/>
              <w:jc w:val="left"/>
              <w:rPr>
                <w:rFonts w:ascii="宋体" w:hAnsi="宋体" w:cs="宋体"/>
                <w:szCs w:val="21"/>
              </w:rPr>
            </w:pPr>
            <w:r>
              <w:rPr>
                <w:rFonts w:hint="eastAsia" w:ascii="宋体" w:hAnsi="宋体" w:cs="宋体"/>
                <w:szCs w:val="21"/>
              </w:rPr>
              <w:t>（2）具有同类项目经验（担任技术负责人或项目经理）的得</w:t>
            </w:r>
            <w:r>
              <w:rPr>
                <w:rFonts w:hint="eastAsia" w:ascii="宋体" w:hAnsi="宋体" w:cs="宋体"/>
                <w:szCs w:val="21"/>
                <w:u w:val="single"/>
              </w:rPr>
              <w:t>2</w:t>
            </w:r>
            <w:r>
              <w:rPr>
                <w:rFonts w:hint="eastAsia" w:ascii="宋体" w:hAnsi="宋体" w:cs="宋体"/>
                <w:szCs w:val="21"/>
              </w:rPr>
              <w:t>分。</w:t>
            </w:r>
          </w:p>
          <w:p w14:paraId="6829BBF7">
            <w:pPr>
              <w:shd w:val="clear" w:color="auto" w:fill="FFFFFF"/>
              <w:jc w:val="left"/>
              <w:rPr>
                <w:rFonts w:ascii="宋体" w:hAnsi="宋体" w:cs="宋体"/>
                <w:b/>
                <w:bCs/>
                <w:szCs w:val="21"/>
              </w:rPr>
            </w:pPr>
            <w:r>
              <w:rPr>
                <w:rFonts w:hint="eastAsia" w:ascii="宋体" w:hAnsi="宋体" w:cs="宋体"/>
                <w:b/>
                <w:bCs/>
                <w:szCs w:val="21"/>
              </w:rPr>
              <w:t>3.项目团队其他成员情况（项目经理和技术负责人除外，（1）和（2）人员不得重复计分，一人只计一次最优分），本项最高得</w:t>
            </w:r>
            <w:r>
              <w:rPr>
                <w:rFonts w:hint="eastAsia" w:ascii="宋体" w:hAnsi="宋体" w:cs="宋体"/>
                <w:b/>
                <w:bCs/>
                <w:szCs w:val="21"/>
                <w:u w:val="single"/>
              </w:rPr>
              <w:t>10</w:t>
            </w:r>
            <w:r>
              <w:rPr>
                <w:rFonts w:hint="eastAsia" w:ascii="宋体" w:hAnsi="宋体" w:cs="宋体"/>
                <w:b/>
                <w:bCs/>
                <w:szCs w:val="21"/>
              </w:rPr>
              <w:t>分。</w:t>
            </w:r>
          </w:p>
          <w:p w14:paraId="2D417FA1">
            <w:pPr>
              <w:shd w:val="clear" w:color="auto" w:fill="FFFFFF"/>
              <w:jc w:val="left"/>
              <w:rPr>
                <w:rFonts w:ascii="宋体" w:hAnsi="宋体" w:cs="宋体"/>
                <w:szCs w:val="21"/>
              </w:rPr>
            </w:pPr>
            <w:r>
              <w:rPr>
                <w:rFonts w:hint="eastAsia" w:ascii="宋体" w:hAnsi="宋体" w:cs="宋体"/>
                <w:szCs w:val="21"/>
              </w:rPr>
              <w:t>（1）具有</w:t>
            </w:r>
            <w:r>
              <w:rPr>
                <w:rFonts w:hint="eastAsia" w:ascii="宋体" w:hAnsi="宋体" w:cs="宋体"/>
                <w:szCs w:val="21"/>
                <w:u w:val="single"/>
              </w:rPr>
              <w:t xml:space="preserve"> 建筑工程类中级及以上职称 </w:t>
            </w:r>
            <w:r>
              <w:rPr>
                <w:rFonts w:hint="eastAsia" w:ascii="宋体" w:hAnsi="宋体" w:cs="宋体"/>
                <w:szCs w:val="21"/>
              </w:rPr>
              <w:t>每人得</w:t>
            </w:r>
            <w:r>
              <w:rPr>
                <w:rFonts w:hint="eastAsia" w:ascii="宋体" w:hAnsi="宋体" w:cs="宋体"/>
                <w:szCs w:val="21"/>
                <w:u w:val="single"/>
              </w:rPr>
              <w:t>1</w:t>
            </w:r>
            <w:r>
              <w:rPr>
                <w:rFonts w:hint="eastAsia" w:ascii="宋体" w:hAnsi="宋体" w:cs="宋体"/>
                <w:szCs w:val="21"/>
              </w:rPr>
              <w:t>分，本小项最高得</w:t>
            </w:r>
            <w:r>
              <w:rPr>
                <w:rFonts w:hint="eastAsia" w:ascii="宋体" w:hAnsi="宋体" w:cs="宋体"/>
                <w:szCs w:val="21"/>
                <w:u w:val="single"/>
              </w:rPr>
              <w:t>2</w:t>
            </w:r>
            <w:r>
              <w:rPr>
                <w:rFonts w:hint="eastAsia" w:ascii="宋体" w:hAnsi="宋体" w:cs="宋体"/>
                <w:szCs w:val="21"/>
              </w:rPr>
              <w:t>分。</w:t>
            </w:r>
          </w:p>
          <w:p w14:paraId="5B0E7EC7">
            <w:pPr>
              <w:shd w:val="clear" w:color="auto" w:fill="FFFFFF"/>
              <w:jc w:val="left"/>
              <w:rPr>
                <w:rFonts w:ascii="宋体" w:hAnsi="宋体" w:cs="宋体"/>
                <w:szCs w:val="21"/>
              </w:rPr>
            </w:pPr>
            <w:r>
              <w:rPr>
                <w:rFonts w:hint="eastAsia" w:ascii="宋体" w:hAnsi="宋体" w:cs="宋体"/>
                <w:szCs w:val="21"/>
              </w:rPr>
              <w:t>（2）具有</w:t>
            </w:r>
            <w:r>
              <w:rPr>
                <w:rFonts w:hint="eastAsia" w:ascii="宋体" w:hAnsi="宋体" w:cs="宋体"/>
                <w:szCs w:val="21"/>
                <w:u w:val="single"/>
              </w:rPr>
              <w:t xml:space="preserve"> 建筑工程类初级及以上职称 </w:t>
            </w:r>
            <w:r>
              <w:rPr>
                <w:rFonts w:hint="eastAsia" w:ascii="宋体" w:hAnsi="宋体" w:cs="宋体"/>
                <w:szCs w:val="21"/>
              </w:rPr>
              <w:t>每人得</w:t>
            </w:r>
            <w:r>
              <w:rPr>
                <w:rFonts w:hint="eastAsia" w:ascii="宋体" w:hAnsi="宋体" w:cs="宋体"/>
                <w:szCs w:val="21"/>
                <w:u w:val="single"/>
              </w:rPr>
              <w:t>0.5</w:t>
            </w:r>
            <w:r>
              <w:rPr>
                <w:rFonts w:hint="eastAsia" w:ascii="宋体" w:hAnsi="宋体" w:cs="宋体"/>
                <w:szCs w:val="21"/>
              </w:rPr>
              <w:t>分，本小项最高得</w:t>
            </w:r>
            <w:r>
              <w:rPr>
                <w:rFonts w:hint="eastAsia" w:ascii="宋体" w:hAnsi="宋体" w:cs="宋体"/>
                <w:szCs w:val="21"/>
                <w:u w:val="single"/>
              </w:rPr>
              <w:t>2</w:t>
            </w:r>
            <w:r>
              <w:rPr>
                <w:rFonts w:hint="eastAsia" w:ascii="宋体" w:hAnsi="宋体" w:cs="宋体"/>
                <w:szCs w:val="21"/>
              </w:rPr>
              <w:t>分。</w:t>
            </w:r>
          </w:p>
          <w:p w14:paraId="4E87AD3B">
            <w:pPr>
              <w:shd w:val="clear" w:color="auto" w:fill="FFFFFF"/>
              <w:jc w:val="left"/>
              <w:rPr>
                <w:rFonts w:ascii="宋体" w:hAnsi="宋体" w:cs="宋体"/>
                <w:szCs w:val="21"/>
              </w:rPr>
            </w:pPr>
            <w:r>
              <w:rPr>
                <w:rFonts w:hint="eastAsia" w:ascii="宋体" w:hAnsi="宋体" w:cs="宋体"/>
                <w:szCs w:val="21"/>
              </w:rPr>
              <w:t>（3）具有同类项目经验</w:t>
            </w:r>
            <w:r>
              <w:rPr>
                <w:rFonts w:hint="eastAsia" w:ascii="宋体" w:hAnsi="宋体" w:cs="宋体"/>
                <w:szCs w:val="21"/>
                <w:u w:val="single"/>
              </w:rPr>
              <w:t>的</w:t>
            </w:r>
            <w:r>
              <w:rPr>
                <w:rFonts w:hint="eastAsia" w:ascii="宋体" w:hAnsi="宋体" w:cs="宋体"/>
                <w:szCs w:val="21"/>
              </w:rPr>
              <w:t>每人得</w:t>
            </w:r>
            <w:r>
              <w:rPr>
                <w:rFonts w:hint="eastAsia" w:ascii="宋体" w:hAnsi="宋体" w:cs="宋体"/>
                <w:szCs w:val="21"/>
                <w:u w:val="single"/>
              </w:rPr>
              <w:t>3</w:t>
            </w:r>
            <w:r>
              <w:rPr>
                <w:rFonts w:hint="eastAsia" w:ascii="宋体" w:hAnsi="宋体" w:cs="宋体"/>
                <w:szCs w:val="21"/>
              </w:rPr>
              <w:t>分，本小项最高得</w:t>
            </w:r>
            <w:r>
              <w:rPr>
                <w:rFonts w:hint="eastAsia" w:ascii="宋体" w:hAnsi="宋体" w:cs="宋体"/>
                <w:szCs w:val="21"/>
                <w:u w:val="single"/>
              </w:rPr>
              <w:t xml:space="preserve"> 6</w:t>
            </w:r>
            <w:r>
              <w:rPr>
                <w:rFonts w:hint="eastAsia" w:ascii="宋体" w:hAnsi="宋体" w:cs="宋体"/>
                <w:szCs w:val="21"/>
              </w:rPr>
              <w:t>分。</w:t>
            </w:r>
          </w:p>
          <w:p w14:paraId="2CF40F91">
            <w:pPr>
              <w:shd w:val="clear" w:color="auto" w:fill="FFFFFF"/>
              <w:jc w:val="left"/>
              <w:rPr>
                <w:rFonts w:ascii="宋体" w:hAnsi="宋体" w:cs="宋体"/>
                <w:szCs w:val="21"/>
              </w:rPr>
            </w:pPr>
            <w:r>
              <w:rPr>
                <w:rFonts w:hint="eastAsia" w:ascii="宋体" w:hAnsi="宋体" w:cs="宋体"/>
                <w:szCs w:val="21"/>
              </w:rPr>
              <w:t>以上</w:t>
            </w:r>
            <w:r>
              <w:rPr>
                <w:rFonts w:hint="eastAsia" w:ascii="宋体" w:hAnsi="宋体" w:cs="宋体"/>
                <w:szCs w:val="21"/>
                <w:u w:val="single"/>
              </w:rPr>
              <w:t xml:space="preserve"> 3 </w:t>
            </w:r>
            <w:r>
              <w:rPr>
                <w:rFonts w:hint="eastAsia" w:ascii="宋体" w:hAnsi="宋体" w:cs="宋体"/>
                <w:szCs w:val="21"/>
              </w:rPr>
              <w:t>项累加得分，最高不超过18分。</w:t>
            </w:r>
          </w:p>
          <w:p w14:paraId="56D867F4">
            <w:pPr>
              <w:shd w:val="clear" w:color="auto" w:fill="FFFFFF"/>
              <w:jc w:val="left"/>
              <w:rPr>
                <w:rFonts w:ascii="宋体" w:hAnsi="宋体" w:cs="宋体"/>
                <w:b/>
                <w:szCs w:val="21"/>
              </w:rPr>
            </w:pPr>
          </w:p>
          <w:p w14:paraId="24338C69">
            <w:pPr>
              <w:shd w:val="clear" w:color="auto" w:fill="FFFFFF"/>
              <w:jc w:val="left"/>
              <w:rPr>
                <w:rFonts w:ascii="宋体" w:hAnsi="宋体" w:cs="宋体"/>
                <w:b/>
                <w:szCs w:val="21"/>
              </w:rPr>
            </w:pPr>
            <w:r>
              <w:rPr>
                <w:rFonts w:hint="eastAsia" w:ascii="宋体" w:hAnsi="宋体" w:cs="宋体"/>
                <w:b/>
                <w:szCs w:val="21"/>
              </w:rPr>
              <w:t>（二）评分依据：</w:t>
            </w:r>
          </w:p>
          <w:p w14:paraId="389E8175">
            <w:pPr>
              <w:shd w:val="clear" w:color="auto" w:fill="FFFFFF"/>
              <w:jc w:val="left"/>
              <w:rPr>
                <w:rFonts w:ascii="宋体" w:hAnsi="宋体" w:cs="宋体"/>
                <w:szCs w:val="21"/>
              </w:rPr>
            </w:pPr>
            <w:r>
              <w:rPr>
                <w:rFonts w:hint="eastAsia" w:ascii="宋体" w:hAnsi="宋体" w:cs="宋体"/>
                <w:szCs w:val="21"/>
              </w:rPr>
              <w:t>1.要求供应商提供承诺（格式自定）作为得分依据，承诺内容包括：“本单位与拟投入的项目人员均已建立劳动关系并依法签订劳动合同。项目人员持有的资格证书，均未违规注册、登记于其他单位。以上承诺，如有违反，依照国家相关法律法规处理，并承担由此给采购人带来的损失。”未提供承诺或承诺内容不满足要求，本项不得分。</w:t>
            </w:r>
          </w:p>
          <w:p w14:paraId="27755D9F">
            <w:pPr>
              <w:shd w:val="clear" w:color="auto" w:fill="FFFFFF"/>
              <w:jc w:val="left"/>
              <w:rPr>
                <w:rFonts w:ascii="宋体" w:hAnsi="宋体" w:cs="宋体"/>
                <w:szCs w:val="21"/>
              </w:rPr>
            </w:pPr>
            <w:r>
              <w:rPr>
                <w:rFonts w:hint="eastAsia" w:ascii="宋体" w:hAnsi="宋体" w:cs="宋体"/>
                <w:szCs w:val="21"/>
              </w:rPr>
              <w:t>2.要求供应商提供相关证明资料作为得分依据。评分中出现无证明资料或专家无法凭所提供资料判断是否得分的情况，一律作不得分处理。</w:t>
            </w:r>
          </w:p>
          <w:p w14:paraId="229BD75E">
            <w:pPr>
              <w:shd w:val="clear" w:color="auto" w:fill="FFFFFF"/>
              <w:jc w:val="left"/>
              <w:rPr>
                <w:rFonts w:ascii="宋体" w:hAnsi="宋体" w:cs="宋体"/>
                <w:szCs w:val="21"/>
              </w:rPr>
            </w:pPr>
            <w:r>
              <w:rPr>
                <w:rFonts w:hint="eastAsia" w:ascii="宋体" w:hAnsi="宋体" w:cs="宋体"/>
                <w:szCs w:val="21"/>
              </w:rPr>
              <w:t>3.要求提供通过供应商缴纳的近三个月的任意一个月的社保证明作为本单位员工的证明依据。若供应商成立不足三个月的，需提供成立情况说明函（格式自拟），无需提供相关人员社保，亦可得分；若为退休返聘人员，需提供退休证明及劳务合同（或聘用协议），无需提供相关人员社保，亦可得分。</w:t>
            </w:r>
          </w:p>
          <w:p w14:paraId="779D5110">
            <w:pPr>
              <w:shd w:val="clear" w:color="auto" w:fill="FFFFFF"/>
              <w:jc w:val="left"/>
              <w:rPr>
                <w:rFonts w:ascii="宋体" w:hAnsi="宋体" w:cs="宋体"/>
                <w:szCs w:val="21"/>
              </w:rPr>
            </w:pPr>
            <w:r>
              <w:rPr>
                <w:rFonts w:hint="eastAsia" w:ascii="宋体" w:hAnsi="宋体" w:cs="宋体"/>
                <w:szCs w:val="21"/>
              </w:rPr>
              <w:t>4.如涉及考察人员工作经验，要求提供项目合同关键信息作为得分依据，通过合同关键信息无法判断是否得分的，也可以提供能证明得分的其它证明资料，如项目报告或合同甲方出具的证明文件等，需加盖合同甲方公章（或甲方业务章）。</w:t>
            </w:r>
          </w:p>
          <w:p w14:paraId="6AF025C7">
            <w:pPr>
              <w:shd w:val="clear" w:color="auto" w:fill="FFFFFF"/>
              <w:jc w:val="left"/>
              <w:rPr>
                <w:rFonts w:ascii="宋体" w:hAnsi="宋体" w:cs="宋体"/>
                <w:szCs w:val="21"/>
              </w:rPr>
            </w:pPr>
            <w:r>
              <w:rPr>
                <w:rFonts w:hint="eastAsia" w:ascii="宋体" w:hAnsi="宋体" w:cs="宋体"/>
                <w:szCs w:val="21"/>
              </w:rPr>
              <w:t>5.如涉及学历、学位证书，要求提供证书扫描件以及学信网查询记录。对于较早颁发的学历学位证书，学信网无法查询的，要求提供证书扫描件和其他佐证材料（如毕业院校、人社部门等颁发机构或监管机构等单位出具的证明）作为得分的依据。</w:t>
            </w:r>
          </w:p>
          <w:p w14:paraId="094E0A94">
            <w:pPr>
              <w:shd w:val="clear" w:color="auto" w:fill="FFFFFF"/>
              <w:jc w:val="left"/>
              <w:rPr>
                <w:rFonts w:ascii="宋体" w:hAnsi="宋体" w:cs="宋体"/>
                <w:szCs w:val="21"/>
              </w:rPr>
            </w:pPr>
            <w:r>
              <w:rPr>
                <w:rFonts w:hint="eastAsia" w:ascii="宋体" w:hAnsi="宋体" w:cs="宋体"/>
                <w:szCs w:val="21"/>
              </w:rPr>
              <w:t>6.由社会组织颁发的证书，还需同时提供该组织在“中国社会组织政务服务平台（全国社会组织信用信息公示平台）https://chinanpo.mca.gov.cn/”的查询截图（截图需体现网址且状态为正常），否则不得分。</w:t>
            </w:r>
          </w:p>
          <w:p w14:paraId="0CA21166">
            <w:pPr>
              <w:shd w:val="clear" w:color="auto" w:fill="FFFFFF"/>
              <w:jc w:val="left"/>
              <w:rPr>
                <w:rFonts w:ascii="宋体" w:hAnsi="宋体" w:cs="宋体"/>
                <w:szCs w:val="21"/>
              </w:rPr>
            </w:pPr>
            <w:r>
              <w:rPr>
                <w:rFonts w:hint="eastAsia" w:ascii="宋体" w:hAnsi="宋体" w:cs="宋体"/>
                <w:szCs w:val="21"/>
              </w:rPr>
              <w:t>7.以上资料均要求提供扫描件，原件备查。</w:t>
            </w:r>
          </w:p>
        </w:tc>
      </w:tr>
    </w:tbl>
    <w:p w14:paraId="42A8FFE7">
      <w:pPr>
        <w:ind w:firstLine="240" w:firstLineChars="100"/>
        <w:rPr>
          <w:rFonts w:ascii="宋体" w:hAnsi="宋体" w:cs="宋体"/>
          <w:sz w:val="24"/>
        </w:rPr>
      </w:pPr>
      <w:r>
        <w:rPr>
          <w:rFonts w:hint="eastAsia" w:ascii="宋体" w:hAnsi="宋体" w:cs="宋体"/>
          <w:sz w:val="24"/>
        </w:rPr>
        <w:t>特别提醒：</w:t>
      </w:r>
    </w:p>
    <w:p w14:paraId="22BC3AA7">
      <w:pPr>
        <w:ind w:left="-197" w:leftChars="-94" w:firstLine="417" w:firstLineChars="174"/>
        <w:rPr>
          <w:rFonts w:ascii="宋体" w:hAnsi="宋体" w:cs="宋体"/>
          <w:sz w:val="24"/>
        </w:rPr>
      </w:pPr>
      <w:r>
        <w:rPr>
          <w:rFonts w:hint="eastAsia" w:ascii="宋体" w:hAnsi="宋体" w:cs="宋体"/>
          <w:sz w:val="24"/>
        </w:rPr>
        <w:t>（</w:t>
      </w:r>
      <w:r>
        <w:rPr>
          <w:rFonts w:ascii="宋体" w:hAnsi="宋体" w:cs="宋体"/>
          <w:sz w:val="24"/>
        </w:rPr>
        <w:t>1）同一业绩不重复计分。</w:t>
      </w:r>
    </w:p>
    <w:p w14:paraId="13CA72FA">
      <w:pPr>
        <w:ind w:left="-197" w:leftChars="-94" w:firstLine="417" w:firstLineChars="174"/>
        <w:rPr>
          <w:rFonts w:ascii="宋体" w:hAnsi="宋体" w:cs="宋体"/>
          <w:sz w:val="24"/>
        </w:rPr>
      </w:pPr>
      <w:r>
        <w:rPr>
          <w:rFonts w:hint="eastAsia" w:ascii="宋体" w:hAnsi="宋体" w:cs="宋体"/>
          <w:sz w:val="24"/>
        </w:rPr>
        <w:t>（</w:t>
      </w:r>
      <w:r>
        <w:rPr>
          <w:rFonts w:ascii="宋体" w:hAnsi="宋体" w:cs="宋体"/>
          <w:sz w:val="24"/>
        </w:rPr>
        <w:t>2）以上评审所需的证书、证件、营业执照等相关资料无需提供原件。须将复印件胶装至响应文件中。</w:t>
      </w:r>
    </w:p>
    <w:p w14:paraId="0B003A32">
      <w:pPr>
        <w:spacing w:line="360" w:lineRule="auto"/>
        <w:rPr>
          <w:rFonts w:ascii="宋体" w:hAnsi="宋体" w:cs="宋体"/>
          <w:b/>
          <w:bCs/>
          <w:sz w:val="24"/>
        </w:rPr>
      </w:pPr>
    </w:p>
    <w:p w14:paraId="77113BDA">
      <w:pPr>
        <w:spacing w:line="360" w:lineRule="auto"/>
        <w:jc w:val="center"/>
        <w:outlineLvl w:val="2"/>
        <w:rPr>
          <w:rFonts w:ascii="宋体" w:hAnsi="宋体" w:cs="宋体"/>
          <w:b/>
          <w:bCs/>
          <w:sz w:val="24"/>
        </w:rPr>
      </w:pPr>
      <w:bookmarkStart w:id="214" w:name="_Toc20918"/>
      <w:r>
        <w:rPr>
          <w:rFonts w:hint="eastAsia" w:ascii="宋体" w:hAnsi="宋体" w:cs="宋体"/>
          <w:b/>
          <w:bCs/>
          <w:sz w:val="24"/>
        </w:rPr>
        <w:t>评审说明</w:t>
      </w:r>
      <w:bookmarkEnd w:id="214"/>
    </w:p>
    <w:p w14:paraId="5C4D0FAB">
      <w:pPr>
        <w:spacing w:line="360" w:lineRule="auto"/>
        <w:outlineLvl w:val="2"/>
        <w:rPr>
          <w:rFonts w:ascii="宋体" w:hAnsi="宋体" w:cs="宋体"/>
          <w:b/>
          <w:bCs/>
          <w:sz w:val="24"/>
        </w:rPr>
      </w:pPr>
      <w:bookmarkStart w:id="215" w:name="_Toc1854"/>
      <w:r>
        <w:rPr>
          <w:rFonts w:ascii="宋体" w:hAnsi="宋体" w:cs="宋体"/>
          <w:b/>
          <w:bCs/>
          <w:sz w:val="24"/>
        </w:rPr>
        <w:t>1.评标方法</w:t>
      </w:r>
      <w:bookmarkEnd w:id="215"/>
    </w:p>
    <w:p w14:paraId="7DA53B22">
      <w:pPr>
        <w:pStyle w:val="133"/>
        <w:spacing w:line="360" w:lineRule="auto"/>
        <w:ind w:firstLine="420"/>
        <w:rPr>
          <w:rFonts w:ascii="宋体" w:hAnsi="宋体" w:cs="宋体"/>
          <w:sz w:val="24"/>
          <w:szCs w:val="24"/>
        </w:rPr>
      </w:pPr>
      <w:r>
        <w:rPr>
          <w:rFonts w:ascii="宋体" w:hAnsi="宋体" w:cs="宋体"/>
          <w:sz w:val="24"/>
          <w:szCs w:val="24"/>
        </w:rPr>
        <w:t>1.1磋商小组依据本章评标标准规定对响应文件进行评审。</w:t>
      </w:r>
    </w:p>
    <w:p w14:paraId="50EB2355">
      <w:pPr>
        <w:pStyle w:val="133"/>
        <w:spacing w:line="360" w:lineRule="auto"/>
        <w:ind w:firstLine="420"/>
        <w:rPr>
          <w:rFonts w:ascii="宋体" w:hAnsi="宋体" w:cs="宋体"/>
          <w:sz w:val="24"/>
          <w:szCs w:val="24"/>
        </w:rPr>
      </w:pPr>
      <w:r>
        <w:rPr>
          <w:rFonts w:ascii="宋体" w:hAnsi="宋体" w:cs="宋体"/>
          <w:sz w:val="24"/>
          <w:szCs w:val="24"/>
        </w:rPr>
        <w:t xml:space="preserve">1.2 </w:t>
      </w:r>
      <w:r>
        <w:rPr>
          <w:rFonts w:hint="eastAsia" w:ascii="宋体" w:hAnsi="宋体" w:cs="宋体"/>
          <w:sz w:val="24"/>
          <w:szCs w:val="24"/>
        </w:rPr>
        <w:t>供应商有以下情形之一的，其磋商作否决其磋商处理：</w:t>
      </w:r>
    </w:p>
    <w:p w14:paraId="1B7A5E53">
      <w:pPr>
        <w:pStyle w:val="133"/>
        <w:spacing w:line="360" w:lineRule="auto"/>
        <w:ind w:firstLine="420"/>
        <w:rPr>
          <w:rFonts w:ascii="宋体" w:hAnsi="宋体" w:cs="宋体"/>
          <w:sz w:val="24"/>
          <w:szCs w:val="24"/>
        </w:rPr>
      </w:pPr>
      <w:r>
        <w:rPr>
          <w:rFonts w:ascii="宋体" w:hAnsi="宋体" w:cs="宋体"/>
          <w:sz w:val="24"/>
          <w:szCs w:val="24"/>
        </w:rPr>
        <w:t>1.2.1详见《第三章“评标办法（综合评分法）”磋商小组否决其磋商的条款》所列内容。</w:t>
      </w:r>
    </w:p>
    <w:p w14:paraId="1DD1C5D3">
      <w:pPr>
        <w:pStyle w:val="133"/>
        <w:spacing w:line="360" w:lineRule="auto"/>
        <w:ind w:firstLine="420"/>
        <w:rPr>
          <w:rFonts w:ascii="宋体" w:hAnsi="宋体" w:cs="宋体"/>
          <w:sz w:val="24"/>
          <w:szCs w:val="24"/>
        </w:rPr>
      </w:pPr>
      <w:r>
        <w:rPr>
          <w:rFonts w:ascii="宋体" w:hAnsi="宋体" w:cs="宋体"/>
          <w:sz w:val="24"/>
          <w:szCs w:val="24"/>
        </w:rPr>
        <w:t>1.3综合评分法</w:t>
      </w:r>
    </w:p>
    <w:p w14:paraId="5F50BF39">
      <w:pPr>
        <w:spacing w:line="360" w:lineRule="auto"/>
        <w:ind w:firstLine="480" w:firstLineChars="200"/>
        <w:rPr>
          <w:rFonts w:ascii="宋体" w:hAnsi="宋体" w:cs="宋体"/>
          <w:sz w:val="24"/>
        </w:rPr>
      </w:pPr>
      <w:r>
        <w:rPr>
          <w:rFonts w:hint="eastAsia" w:ascii="宋体" w:hAnsi="宋体" w:cs="宋体"/>
          <w:sz w:val="24"/>
        </w:rPr>
        <w:t>磋商小组对满足采购文件实质性要求且通过资格审查和符合性审查的响应文件进行进行综合评审打分阶段。</w:t>
      </w:r>
    </w:p>
    <w:p w14:paraId="1685B5FF">
      <w:pPr>
        <w:spacing w:line="360" w:lineRule="auto"/>
        <w:ind w:firstLine="480" w:firstLineChars="200"/>
        <w:rPr>
          <w:rFonts w:ascii="宋体" w:hAnsi="宋体" w:cs="宋体"/>
          <w:kern w:val="0"/>
          <w:sz w:val="24"/>
        </w:rPr>
      </w:pPr>
      <w:r>
        <w:rPr>
          <w:rFonts w:hint="eastAsia" w:ascii="宋体" w:hAnsi="宋体" w:cs="宋体"/>
          <w:sz w:val="24"/>
        </w:rPr>
        <w:t>磋商小组根据供应商的综合得分，从高到低推荐</w:t>
      </w:r>
      <w:r>
        <w:rPr>
          <w:rFonts w:ascii="宋体" w:hAnsi="宋体" w:cs="宋体"/>
          <w:sz w:val="24"/>
        </w:rPr>
        <w:t>3名有排序的成交候选供应商，</w:t>
      </w:r>
      <w:r>
        <w:rPr>
          <w:rFonts w:hint="eastAsia" w:ascii="宋体" w:hAnsi="宋体" w:cs="宋体"/>
          <w:kern w:val="0"/>
          <w:sz w:val="24"/>
        </w:rPr>
        <w:t>若综合得分相同</w:t>
      </w:r>
      <w:r>
        <w:rPr>
          <w:rFonts w:ascii="宋体" w:hAnsi="宋体" w:cs="宋体"/>
          <w:kern w:val="0"/>
          <w:sz w:val="24"/>
        </w:rPr>
        <w:t>,则</w:t>
      </w:r>
      <w:r>
        <w:rPr>
          <w:rFonts w:hint="eastAsia" w:ascii="宋体" w:hAnsi="宋体" w:cs="宋体"/>
          <w:kern w:val="0"/>
          <w:sz w:val="24"/>
        </w:rPr>
        <w:t>最终响应报价</w:t>
      </w:r>
      <w:r>
        <w:rPr>
          <w:rFonts w:ascii="宋体" w:hAnsi="宋体" w:cs="宋体"/>
          <w:kern w:val="0"/>
          <w:sz w:val="24"/>
        </w:rPr>
        <w:t>低的排序在前；若</w:t>
      </w:r>
      <w:r>
        <w:rPr>
          <w:rFonts w:hint="eastAsia" w:ascii="宋体" w:hAnsi="宋体" w:cs="宋体"/>
          <w:kern w:val="0"/>
          <w:sz w:val="24"/>
        </w:rPr>
        <w:t>最终响应报价</w:t>
      </w:r>
      <w:r>
        <w:rPr>
          <w:rFonts w:ascii="宋体" w:hAnsi="宋体" w:cs="宋体"/>
          <w:kern w:val="0"/>
          <w:sz w:val="24"/>
        </w:rPr>
        <w:t>仍相同,</w:t>
      </w:r>
      <w:r>
        <w:rPr>
          <w:rFonts w:hint="eastAsia" w:ascii="宋体" w:hAnsi="宋体" w:cs="宋体"/>
          <w:kern w:val="0"/>
          <w:sz w:val="24"/>
        </w:rPr>
        <w:t>则按技术指标优劣顺序排列</w:t>
      </w:r>
      <w:r>
        <w:rPr>
          <w:rFonts w:ascii="宋体" w:hAnsi="宋体" w:cs="宋体"/>
          <w:kern w:val="0"/>
          <w:sz w:val="24"/>
        </w:rPr>
        <w:t>。</w:t>
      </w:r>
    </w:p>
    <w:p w14:paraId="3D0E9086">
      <w:pPr>
        <w:spacing w:line="360" w:lineRule="auto"/>
        <w:ind w:firstLine="480" w:firstLineChars="200"/>
        <w:rPr>
          <w:rFonts w:ascii="宋体" w:hAnsi="宋体" w:cs="宋体"/>
          <w:kern w:val="0"/>
          <w:sz w:val="24"/>
        </w:rPr>
      </w:pPr>
      <w:r>
        <w:rPr>
          <w:rFonts w:hint="eastAsia" w:ascii="宋体" w:hAnsi="宋体" w:cs="宋体"/>
          <w:kern w:val="0"/>
          <w:sz w:val="24"/>
        </w:rPr>
        <w:t>1.4价格分计算方法</w:t>
      </w:r>
    </w:p>
    <w:p w14:paraId="205BFC7D">
      <w:pPr>
        <w:spacing w:line="360" w:lineRule="auto"/>
        <w:ind w:firstLine="480" w:firstLineChars="200"/>
        <w:rPr>
          <w:rFonts w:ascii="宋体" w:hAnsi="宋体" w:cs="宋体"/>
          <w:kern w:val="0"/>
          <w:sz w:val="24"/>
        </w:rPr>
      </w:pPr>
      <w:r>
        <w:rPr>
          <w:rFonts w:ascii="宋体" w:hAnsi="宋体" w:cs="宋体"/>
          <w:kern w:val="0"/>
          <w:sz w:val="24"/>
        </w:rPr>
        <w:t>综合评分法中的价格分统一采用低价优先法计算，即满足磋商文件要求且最后报价最低的供应商的价格为磋商基准价，其价格分为满分。其他供应商的价格分统一按照下列公式计算：</w:t>
      </w:r>
    </w:p>
    <w:p w14:paraId="7FCB9BB0">
      <w:pPr>
        <w:spacing w:line="360" w:lineRule="auto"/>
        <w:ind w:firstLine="480" w:firstLineChars="200"/>
        <w:rPr>
          <w:rFonts w:ascii="宋体" w:hAnsi="宋体" w:cs="宋体"/>
          <w:kern w:val="0"/>
          <w:sz w:val="24"/>
        </w:rPr>
      </w:pPr>
      <w:r>
        <w:rPr>
          <w:rFonts w:ascii="宋体" w:hAnsi="宋体" w:cs="宋体"/>
          <w:kern w:val="0"/>
          <w:sz w:val="24"/>
        </w:rPr>
        <w:t>磋商报价得分=（磋商基准价/最后磋商报价）×价格</w:t>
      </w:r>
      <w:r>
        <w:rPr>
          <w:rFonts w:hint="eastAsia" w:ascii="宋体" w:hAnsi="宋体" w:cs="宋体"/>
          <w:kern w:val="0"/>
          <w:sz w:val="24"/>
        </w:rPr>
        <w:t>权重</w:t>
      </w:r>
    </w:p>
    <w:p w14:paraId="306DDC81">
      <w:pPr>
        <w:spacing w:line="360" w:lineRule="auto"/>
        <w:ind w:firstLine="480" w:firstLineChars="200"/>
        <w:rPr>
          <w:rFonts w:ascii="宋体" w:hAnsi="宋体" w:cs="宋体"/>
          <w:kern w:val="0"/>
          <w:sz w:val="24"/>
        </w:rPr>
      </w:pPr>
      <w:r>
        <w:rPr>
          <w:rFonts w:ascii="宋体" w:hAnsi="宋体" w:cs="宋体"/>
          <w:kern w:val="0"/>
          <w:sz w:val="24"/>
        </w:rPr>
        <w:t>项目评审过程中，不得去掉最后报价中的最高报价和最低报价。</w:t>
      </w:r>
    </w:p>
    <w:p w14:paraId="62F164DB">
      <w:pPr>
        <w:spacing w:line="360" w:lineRule="auto"/>
        <w:outlineLvl w:val="2"/>
        <w:rPr>
          <w:rFonts w:ascii="宋体" w:hAnsi="宋体" w:cs="宋体"/>
          <w:b/>
          <w:bCs/>
          <w:sz w:val="24"/>
        </w:rPr>
      </w:pPr>
      <w:bookmarkStart w:id="216" w:name="_Toc21789"/>
      <w:r>
        <w:rPr>
          <w:rFonts w:ascii="宋体" w:hAnsi="宋体" w:cs="宋体"/>
          <w:b/>
          <w:bCs/>
          <w:sz w:val="24"/>
        </w:rPr>
        <w:t>2.</w:t>
      </w:r>
      <w:r>
        <w:rPr>
          <w:rFonts w:hint="eastAsia" w:ascii="宋体" w:hAnsi="宋体" w:cs="宋体"/>
          <w:b/>
          <w:bCs/>
          <w:sz w:val="24"/>
        </w:rPr>
        <w:t>评标优惠政策</w:t>
      </w:r>
      <w:bookmarkEnd w:id="216"/>
    </w:p>
    <w:p w14:paraId="1947B9AB">
      <w:pPr>
        <w:spacing w:line="360" w:lineRule="auto"/>
        <w:ind w:firstLine="480" w:firstLineChars="200"/>
        <w:rPr>
          <w:rFonts w:ascii="宋体" w:hAnsi="宋体" w:cs="宋体"/>
          <w:sz w:val="24"/>
        </w:rPr>
      </w:pPr>
      <w:r>
        <w:rPr>
          <w:rFonts w:hint="eastAsia" w:ascii="宋体" w:hAnsi="宋体" w:cs="宋体"/>
          <w:sz w:val="24"/>
        </w:rPr>
        <w:t>根据《政府采购促进中小企业发展管理办法》财库〔</w:t>
      </w:r>
      <w:r>
        <w:rPr>
          <w:rFonts w:ascii="宋体" w:hAnsi="宋体" w:cs="宋体"/>
          <w:sz w:val="24"/>
        </w:rPr>
        <w:t xml:space="preserve">2020〕46号、《财政部 </w:t>
      </w:r>
      <w:r>
        <w:rPr>
          <w:rFonts w:hint="eastAsia" w:ascii="宋体" w:hAnsi="宋体" w:cs="宋体"/>
          <w:sz w:val="24"/>
        </w:rPr>
        <w:t>司法部关于政府采购支持监狱企业发展有关问题的通知》（财库〔</w:t>
      </w:r>
      <w:r>
        <w:rPr>
          <w:rFonts w:ascii="宋体" w:hAnsi="宋体" w:cs="宋体"/>
          <w:sz w:val="24"/>
        </w:rPr>
        <w:t>2014〕68号）和《三部门联合发布关于促进残疾人就业政府采购政策的通知》（财库〔2017〕141号）的规定，对满足价格扣除条件且在</w:t>
      </w:r>
      <w:r>
        <w:rPr>
          <w:rFonts w:hint="eastAsia" w:ascii="宋体" w:hAnsi="宋体" w:cs="宋体"/>
          <w:sz w:val="24"/>
        </w:rPr>
        <w:t>响应文件中提交了《供应商企业类型声明函》、《残疾人福利性单位声明函》或省级以上监狱管理局、戒毒管理局（含新疆生产建设兵团）出具的属于监狱企业的证明文件的供应商，其</w:t>
      </w:r>
      <w:r>
        <w:rPr>
          <w:rFonts w:hint="eastAsia" w:ascii="宋体" w:hAnsi="宋体" w:cs="宋体"/>
          <w:kern w:val="0"/>
          <w:sz w:val="24"/>
        </w:rPr>
        <w:t>最终</w:t>
      </w:r>
      <w:r>
        <w:rPr>
          <w:rFonts w:hint="eastAsia" w:ascii="宋体" w:hAnsi="宋体" w:cs="宋体"/>
          <w:sz w:val="24"/>
        </w:rPr>
        <w:t>响应报价扣除</w:t>
      </w:r>
      <w:r>
        <w:rPr>
          <w:rFonts w:ascii="宋体" w:hAnsi="宋体" w:cs="宋体"/>
          <w:sz w:val="24"/>
          <w:u w:val="single"/>
        </w:rPr>
        <w:t>/</w:t>
      </w:r>
      <w:r>
        <w:rPr>
          <w:rFonts w:ascii="宋体" w:hAnsi="宋体" w:cs="宋体"/>
          <w:sz w:val="24"/>
        </w:rPr>
        <w:t>%后参与评审。对于同时属于小微企业、监狱企业或残疾人福利性单位的，不重复进行</w:t>
      </w:r>
      <w:r>
        <w:rPr>
          <w:rFonts w:hint="eastAsia" w:ascii="宋体" w:hAnsi="宋体" w:cs="宋体"/>
          <w:kern w:val="0"/>
          <w:sz w:val="24"/>
        </w:rPr>
        <w:t>最终</w:t>
      </w:r>
      <w:r>
        <w:rPr>
          <w:rFonts w:hint="eastAsia" w:ascii="宋体" w:hAnsi="宋体" w:cs="宋体"/>
          <w:sz w:val="24"/>
        </w:rPr>
        <w:t>响应报价</w:t>
      </w:r>
      <w:r>
        <w:rPr>
          <w:rFonts w:ascii="宋体" w:hAnsi="宋体" w:cs="宋体"/>
          <w:sz w:val="24"/>
        </w:rPr>
        <w:t>扣除。如有其它政策支持因素（如鼓励创新等）需一并列出。</w:t>
      </w:r>
    </w:p>
    <w:p w14:paraId="63ECD0F1">
      <w:pPr>
        <w:pStyle w:val="133"/>
        <w:spacing w:beforeLines="50" w:afterLines="50"/>
        <w:outlineLvl w:val="2"/>
        <w:rPr>
          <w:rFonts w:ascii="宋体" w:hAnsi="宋体" w:cs="宋体"/>
          <w:b/>
          <w:sz w:val="24"/>
          <w:szCs w:val="24"/>
        </w:rPr>
      </w:pPr>
      <w:bookmarkStart w:id="217" w:name="_Toc18060"/>
      <w:r>
        <w:rPr>
          <w:rFonts w:ascii="宋体" w:hAnsi="宋体" w:cs="宋体"/>
          <w:b/>
          <w:sz w:val="24"/>
          <w:szCs w:val="24"/>
        </w:rPr>
        <w:t>3.评标原则</w:t>
      </w:r>
      <w:bookmarkEnd w:id="217"/>
    </w:p>
    <w:p w14:paraId="15CF4E43">
      <w:pPr>
        <w:pStyle w:val="133"/>
        <w:shd w:val="clear" w:color="auto" w:fill="FFFFFF"/>
        <w:ind w:firstLine="420"/>
        <w:rPr>
          <w:rFonts w:ascii="宋体" w:hAnsi="宋体" w:cs="宋体"/>
          <w:b/>
          <w:bCs/>
          <w:sz w:val="24"/>
          <w:szCs w:val="24"/>
        </w:rPr>
      </w:pPr>
      <w:r>
        <w:rPr>
          <w:rFonts w:hint="eastAsia" w:ascii="宋体" w:hAnsi="宋体" w:cs="宋体"/>
          <w:sz w:val="24"/>
          <w:szCs w:val="24"/>
        </w:rPr>
        <w:t>遵循公平、公正、科学、择优的原则。</w:t>
      </w:r>
    </w:p>
    <w:p w14:paraId="3A323923">
      <w:pPr>
        <w:pStyle w:val="133"/>
        <w:spacing w:beforeLines="50" w:afterLines="50"/>
        <w:outlineLvl w:val="2"/>
        <w:rPr>
          <w:rFonts w:ascii="宋体" w:hAnsi="宋体" w:cs="宋体"/>
          <w:b/>
          <w:sz w:val="24"/>
          <w:szCs w:val="24"/>
        </w:rPr>
      </w:pPr>
      <w:bookmarkStart w:id="218" w:name="_Toc11723"/>
      <w:r>
        <w:rPr>
          <w:rFonts w:ascii="宋体" w:hAnsi="宋体" w:cs="宋体"/>
          <w:b/>
          <w:sz w:val="24"/>
          <w:szCs w:val="24"/>
        </w:rPr>
        <w:t>4.磋商小组组成及职责</w:t>
      </w:r>
      <w:bookmarkEnd w:id="218"/>
    </w:p>
    <w:p w14:paraId="6151C283">
      <w:pPr>
        <w:spacing w:line="360" w:lineRule="auto"/>
        <w:ind w:firstLine="480" w:firstLineChars="200"/>
        <w:rPr>
          <w:rFonts w:ascii="宋体" w:hAnsi="宋体" w:cs="宋体"/>
          <w:kern w:val="0"/>
          <w:sz w:val="24"/>
        </w:rPr>
      </w:pPr>
      <w:r>
        <w:rPr>
          <w:rFonts w:ascii="宋体" w:hAnsi="宋体" w:cs="宋体"/>
          <w:kern w:val="0"/>
          <w:sz w:val="24"/>
        </w:rPr>
        <w:t>4.1磋商小组</w:t>
      </w:r>
    </w:p>
    <w:p w14:paraId="5A50345F">
      <w:pPr>
        <w:spacing w:line="360" w:lineRule="auto"/>
        <w:ind w:firstLine="480" w:firstLineChars="200"/>
        <w:rPr>
          <w:rFonts w:ascii="宋体" w:hAnsi="宋体" w:cs="宋体"/>
          <w:kern w:val="0"/>
          <w:sz w:val="24"/>
        </w:rPr>
      </w:pPr>
      <w:r>
        <w:rPr>
          <w:rFonts w:hint="eastAsia" w:ascii="宋体" w:hAnsi="宋体" w:cs="宋体"/>
          <w:kern w:val="0"/>
          <w:sz w:val="24"/>
        </w:rPr>
        <w:t>磋商小组由采购人代表和评审专家共</w:t>
      </w:r>
      <w:r>
        <w:rPr>
          <w:rFonts w:ascii="宋体" w:hAnsi="宋体" w:cs="宋体"/>
          <w:kern w:val="0"/>
          <w:sz w:val="24"/>
        </w:rPr>
        <w:t>3人以上单数组成，其中评审专家人数不得少于磋商小组成员总数的2/3。采购人代表不得以评审专家身份参加本部门或本单位采购项目的评审。采购代理机构人员不得参加本机构代理的采购项目的评审</w:t>
      </w:r>
      <w:r>
        <w:rPr>
          <w:rFonts w:hint="eastAsia" w:ascii="宋体" w:hAnsi="宋体" w:cs="宋体"/>
          <w:kern w:val="0"/>
          <w:sz w:val="24"/>
        </w:rPr>
        <w:t>。所有磋商小组成员推举产生磋商小组组长。</w:t>
      </w:r>
    </w:p>
    <w:p w14:paraId="0FB0AE6D">
      <w:pPr>
        <w:spacing w:line="360" w:lineRule="auto"/>
        <w:ind w:firstLine="480" w:firstLineChars="200"/>
        <w:rPr>
          <w:rFonts w:ascii="宋体" w:hAnsi="宋体" w:cs="宋体"/>
          <w:kern w:val="0"/>
          <w:sz w:val="24"/>
        </w:rPr>
      </w:pPr>
      <w:r>
        <w:rPr>
          <w:rFonts w:ascii="宋体" w:hAnsi="宋体" w:cs="宋体"/>
          <w:kern w:val="0"/>
          <w:sz w:val="24"/>
        </w:rPr>
        <w:t xml:space="preserve">4.2 </w:t>
      </w:r>
      <w:r>
        <w:rPr>
          <w:rFonts w:hint="eastAsia" w:ascii="宋体" w:hAnsi="宋体" w:cs="宋体"/>
          <w:kern w:val="0"/>
          <w:sz w:val="24"/>
        </w:rPr>
        <w:t>磋商小组的职责</w:t>
      </w:r>
    </w:p>
    <w:p w14:paraId="1CCE8027">
      <w:pPr>
        <w:pStyle w:val="133"/>
        <w:shd w:val="clear" w:color="auto" w:fill="FFFFFF"/>
        <w:snapToGrid w:val="0"/>
        <w:spacing w:line="360" w:lineRule="auto"/>
        <w:ind w:firstLine="420"/>
        <w:rPr>
          <w:rFonts w:ascii="宋体" w:hAnsi="宋体" w:cs="宋体"/>
          <w:sz w:val="24"/>
          <w:szCs w:val="24"/>
        </w:rPr>
      </w:pPr>
      <w:r>
        <w:rPr>
          <w:rFonts w:hint="eastAsia" w:ascii="宋体" w:hAnsi="宋体" w:cs="宋体"/>
          <w:sz w:val="24"/>
          <w:szCs w:val="24"/>
        </w:rPr>
        <w:t>磋商小组应当根据评标办法，对响应文件进行评审和比较，向采购人推荐成交候选供应商或根据采购人的授权直接确定成交供应商。各评委独立评审，提出评审意见，不受任何单位或者个人的干预。各评委对其各自评审结果负责，并在评标报告上签字确认。对评标结论持有异议的磋商小组成员可以书面方式阐述其不同意见和理由。磋商小组成员拒绝在评标报告上签字且不陈述其不同意见和理由的，视为同意评标结论。磋商小组应当对此作出书面说明并记录在案。</w:t>
      </w:r>
    </w:p>
    <w:p w14:paraId="7ED9093B">
      <w:pPr>
        <w:pStyle w:val="133"/>
        <w:spacing w:beforeLines="50" w:afterLines="50"/>
        <w:outlineLvl w:val="2"/>
        <w:rPr>
          <w:rFonts w:ascii="宋体" w:hAnsi="宋体" w:cs="宋体"/>
          <w:b/>
          <w:sz w:val="24"/>
          <w:szCs w:val="24"/>
        </w:rPr>
      </w:pPr>
      <w:bookmarkStart w:id="219" w:name="_Toc8022"/>
      <w:r>
        <w:rPr>
          <w:rFonts w:ascii="宋体" w:hAnsi="宋体" w:cs="宋体"/>
          <w:b/>
          <w:sz w:val="24"/>
          <w:szCs w:val="24"/>
        </w:rPr>
        <w:t>5.评标程序</w:t>
      </w:r>
      <w:bookmarkEnd w:id="219"/>
    </w:p>
    <w:p w14:paraId="1EAC409B">
      <w:pPr>
        <w:pStyle w:val="133"/>
        <w:shd w:val="clear" w:color="auto" w:fill="FFFFFF"/>
        <w:spacing w:line="360" w:lineRule="auto"/>
        <w:ind w:firstLine="412"/>
        <w:rPr>
          <w:rFonts w:ascii="宋体" w:hAnsi="宋体" w:cs="宋体"/>
          <w:sz w:val="24"/>
          <w:szCs w:val="24"/>
        </w:rPr>
      </w:pPr>
      <w:r>
        <w:rPr>
          <w:rFonts w:hint="eastAsia" w:ascii="宋体" w:hAnsi="宋体" w:cs="宋体"/>
          <w:sz w:val="24"/>
          <w:szCs w:val="24"/>
        </w:rPr>
        <w:t>评标准备、设计方案评审、资格评审、符合性评审、综合评审打分，根据得分进行排序，推荐成交候选供应商。</w:t>
      </w:r>
    </w:p>
    <w:p w14:paraId="6F45BED0">
      <w:pPr>
        <w:pStyle w:val="133"/>
        <w:shd w:val="clear" w:color="auto" w:fill="FFFFFF"/>
        <w:spacing w:line="360" w:lineRule="auto"/>
        <w:ind w:firstLine="412"/>
        <w:rPr>
          <w:rFonts w:ascii="宋体" w:hAnsi="宋体" w:cs="宋体"/>
          <w:sz w:val="24"/>
          <w:szCs w:val="24"/>
        </w:rPr>
      </w:pPr>
      <w:r>
        <w:rPr>
          <w:rFonts w:ascii="宋体" w:hAnsi="宋体" w:cs="宋体"/>
          <w:sz w:val="24"/>
          <w:szCs w:val="24"/>
        </w:rPr>
        <w:t>5.1评标准备</w:t>
      </w:r>
    </w:p>
    <w:p w14:paraId="26C2EEEF">
      <w:pPr>
        <w:pStyle w:val="133"/>
        <w:shd w:val="clear" w:color="auto" w:fill="FFFFFF"/>
        <w:spacing w:line="360" w:lineRule="auto"/>
        <w:ind w:firstLine="412"/>
        <w:rPr>
          <w:rFonts w:ascii="宋体" w:hAnsi="宋体" w:cs="宋体"/>
          <w:sz w:val="24"/>
          <w:szCs w:val="24"/>
        </w:rPr>
      </w:pPr>
      <w:r>
        <w:rPr>
          <w:rFonts w:hint="eastAsia" w:ascii="宋体" w:hAnsi="宋体" w:cs="宋体"/>
          <w:sz w:val="24"/>
          <w:szCs w:val="24"/>
        </w:rPr>
        <w:t>磋商小组熟悉评标工作情况：</w:t>
      </w:r>
    </w:p>
    <w:p w14:paraId="333F99E1">
      <w:pPr>
        <w:pStyle w:val="133"/>
        <w:shd w:val="clear" w:color="auto" w:fill="FFFFFF"/>
        <w:spacing w:line="360" w:lineRule="auto"/>
        <w:ind w:firstLine="412"/>
        <w:rPr>
          <w:rFonts w:ascii="宋体" w:hAnsi="宋体" w:cs="宋体"/>
          <w:sz w:val="24"/>
          <w:szCs w:val="24"/>
        </w:rPr>
      </w:pPr>
      <w:r>
        <w:rPr>
          <w:rFonts w:ascii="宋体" w:hAnsi="宋体" w:cs="宋体"/>
          <w:sz w:val="24"/>
          <w:szCs w:val="24"/>
        </w:rPr>
        <w:t>(1)听取采购人或者其委托的工程采购代理机构对采购项目情况的介绍。</w:t>
      </w:r>
    </w:p>
    <w:p w14:paraId="539C3AB6">
      <w:pPr>
        <w:pStyle w:val="133"/>
        <w:shd w:val="clear" w:color="auto" w:fill="FFFFFF"/>
        <w:spacing w:line="360" w:lineRule="auto"/>
        <w:ind w:firstLine="412"/>
        <w:rPr>
          <w:rFonts w:ascii="宋体" w:hAnsi="宋体" w:cs="宋体"/>
          <w:sz w:val="24"/>
          <w:szCs w:val="24"/>
        </w:rPr>
      </w:pPr>
      <w:r>
        <w:rPr>
          <w:rFonts w:ascii="宋体" w:hAnsi="宋体" w:cs="宋体"/>
          <w:sz w:val="24"/>
          <w:szCs w:val="24"/>
        </w:rPr>
        <w:t>(2)阅读、研究采购文件和相关评标资料，获取评标所需要的重要信息和数据,至少应了解和熟悉以下内容：</w:t>
      </w:r>
      <w:r>
        <w:rPr>
          <w:rFonts w:hint="eastAsia" w:ascii="宋体" w:hAnsi="宋体" w:cs="宋体"/>
          <w:sz w:val="24"/>
          <w:szCs w:val="24"/>
        </w:rPr>
        <w:t>采购</w:t>
      </w:r>
      <w:r>
        <w:rPr>
          <w:rFonts w:ascii="宋体" w:hAnsi="宋体" w:cs="宋体"/>
          <w:sz w:val="24"/>
          <w:szCs w:val="24"/>
        </w:rPr>
        <w:t>的目标、采购项目的范围和性质、采购文件规定的主要技术要求、标准和商务条款。</w:t>
      </w:r>
    </w:p>
    <w:p w14:paraId="5261820A">
      <w:pPr>
        <w:pStyle w:val="133"/>
        <w:shd w:val="clear" w:color="auto" w:fill="FFFFFF"/>
        <w:spacing w:line="360" w:lineRule="auto"/>
        <w:ind w:firstLine="412"/>
        <w:rPr>
          <w:rFonts w:ascii="宋体" w:hAnsi="宋体" w:cs="宋体"/>
          <w:sz w:val="24"/>
          <w:szCs w:val="24"/>
        </w:rPr>
      </w:pPr>
      <w:r>
        <w:rPr>
          <w:rFonts w:ascii="宋体" w:hAnsi="宋体" w:cs="宋体"/>
          <w:sz w:val="24"/>
          <w:szCs w:val="24"/>
        </w:rPr>
        <w:t>(3)熟悉采购文件规定的评标标准和评标方法及在评标过程中需要考虑的相关因素。</w:t>
      </w:r>
    </w:p>
    <w:p w14:paraId="59F0A236">
      <w:pPr>
        <w:pStyle w:val="133"/>
        <w:shd w:val="clear" w:color="auto" w:fill="FFFFFF"/>
        <w:spacing w:line="360" w:lineRule="auto"/>
        <w:ind w:firstLine="412"/>
        <w:rPr>
          <w:rFonts w:ascii="宋体" w:hAnsi="宋体" w:cs="宋体"/>
          <w:b/>
          <w:bCs/>
          <w:sz w:val="24"/>
          <w:szCs w:val="24"/>
        </w:rPr>
      </w:pPr>
      <w:r>
        <w:rPr>
          <w:rFonts w:ascii="宋体" w:hAnsi="宋体" w:cs="宋体"/>
          <w:sz w:val="24"/>
          <w:szCs w:val="24"/>
        </w:rPr>
        <w:t>(4)核对评标工作用表。</w:t>
      </w:r>
    </w:p>
    <w:p w14:paraId="6E16DBAB">
      <w:pPr>
        <w:pStyle w:val="133"/>
        <w:shd w:val="clear" w:color="auto" w:fill="FFFFFF"/>
        <w:spacing w:line="360" w:lineRule="auto"/>
        <w:ind w:firstLine="412"/>
        <w:rPr>
          <w:rFonts w:ascii="宋体" w:hAnsi="宋体" w:cs="宋体"/>
          <w:sz w:val="24"/>
          <w:szCs w:val="24"/>
        </w:rPr>
      </w:pPr>
      <w:r>
        <w:rPr>
          <w:rFonts w:ascii="宋体" w:hAnsi="宋体" w:cs="宋体"/>
          <w:sz w:val="24"/>
          <w:szCs w:val="24"/>
        </w:rPr>
        <w:t>5.2评审步骤</w:t>
      </w:r>
    </w:p>
    <w:p w14:paraId="45E712CA">
      <w:pPr>
        <w:pStyle w:val="133"/>
        <w:shd w:val="clear" w:color="auto" w:fill="FFFFFF"/>
        <w:spacing w:line="360" w:lineRule="auto"/>
        <w:ind w:firstLine="412"/>
        <w:rPr>
          <w:rFonts w:ascii="宋体" w:hAnsi="宋体" w:cs="宋体"/>
          <w:sz w:val="24"/>
          <w:szCs w:val="24"/>
        </w:rPr>
      </w:pPr>
      <w:r>
        <w:rPr>
          <w:rFonts w:hint="eastAsia" w:ascii="宋体" w:hAnsi="宋体" w:cs="宋体"/>
          <w:sz w:val="24"/>
        </w:rPr>
        <w:t>（</w:t>
      </w:r>
      <w:r>
        <w:rPr>
          <w:rFonts w:ascii="宋体" w:hAnsi="宋体" w:cs="宋体"/>
          <w:sz w:val="24"/>
        </w:rPr>
        <w:t>1）</w:t>
      </w:r>
      <w:r>
        <w:rPr>
          <w:rFonts w:hint="eastAsia" w:ascii="宋体" w:hAnsi="宋体" w:cs="宋体"/>
          <w:sz w:val="24"/>
          <w:szCs w:val="24"/>
        </w:rPr>
        <w:t>按评标办法前附表对响应文件进行资格和符合性评审；</w:t>
      </w:r>
    </w:p>
    <w:p w14:paraId="6293A51E">
      <w:pPr>
        <w:pStyle w:val="133"/>
        <w:shd w:val="clear" w:color="auto" w:fill="FFFFFF"/>
        <w:spacing w:line="360" w:lineRule="auto"/>
        <w:ind w:firstLine="412"/>
        <w:rPr>
          <w:rFonts w:ascii="宋体" w:hAnsi="宋体" w:cs="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）评审商务标、技术标；</w:t>
      </w:r>
    </w:p>
    <w:p w14:paraId="2B8C4221">
      <w:pPr>
        <w:pStyle w:val="133"/>
        <w:shd w:val="clear" w:color="auto" w:fill="FFFFFF"/>
        <w:spacing w:line="360" w:lineRule="auto"/>
        <w:ind w:firstLine="412"/>
        <w:rPr>
          <w:rFonts w:ascii="宋体" w:hAnsi="宋体" w:cs="宋体"/>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综合评审打分；</w:t>
      </w:r>
    </w:p>
    <w:p w14:paraId="1903FBD3">
      <w:pPr>
        <w:pStyle w:val="133"/>
        <w:shd w:val="clear" w:color="auto" w:fill="FFFFFF"/>
        <w:spacing w:line="360" w:lineRule="auto"/>
        <w:ind w:firstLine="412"/>
        <w:rPr>
          <w:rFonts w:ascii="宋体" w:hAnsi="宋体" w:cs="宋体"/>
          <w:sz w:val="24"/>
          <w:szCs w:val="24"/>
        </w:rPr>
      </w:pPr>
      <w:r>
        <w:rPr>
          <w:rFonts w:hint="eastAsia" w:ascii="宋体" w:hAnsi="宋体" w:cs="宋体"/>
          <w:sz w:val="24"/>
          <w:szCs w:val="24"/>
        </w:rPr>
        <w:t>（</w:t>
      </w:r>
      <w:r>
        <w:rPr>
          <w:rFonts w:ascii="宋体" w:hAnsi="宋体" w:cs="宋体"/>
          <w:sz w:val="24"/>
          <w:szCs w:val="24"/>
        </w:rPr>
        <w:t>4）</w:t>
      </w:r>
      <w:r>
        <w:rPr>
          <w:rFonts w:hint="eastAsia" w:ascii="宋体" w:hAnsi="宋体" w:cs="宋体"/>
          <w:sz w:val="24"/>
          <w:szCs w:val="24"/>
        </w:rPr>
        <w:t>综合得分汇总。</w:t>
      </w:r>
    </w:p>
    <w:p w14:paraId="0D1E42D9">
      <w:pPr>
        <w:pStyle w:val="133"/>
        <w:spacing w:beforeLines="50" w:afterLines="50"/>
        <w:outlineLvl w:val="2"/>
        <w:rPr>
          <w:rFonts w:ascii="宋体" w:hAnsi="宋体" w:cs="宋体"/>
          <w:b/>
          <w:sz w:val="24"/>
          <w:szCs w:val="24"/>
        </w:rPr>
      </w:pPr>
      <w:bookmarkStart w:id="220" w:name="_Toc1809"/>
      <w:r>
        <w:rPr>
          <w:rFonts w:ascii="宋体" w:hAnsi="宋体" w:cs="宋体"/>
          <w:b/>
          <w:sz w:val="24"/>
          <w:szCs w:val="24"/>
        </w:rPr>
        <w:t>6.评审内容</w:t>
      </w:r>
      <w:bookmarkEnd w:id="220"/>
    </w:p>
    <w:p w14:paraId="0034C3C8">
      <w:pPr>
        <w:pStyle w:val="133"/>
        <w:shd w:val="clear" w:color="auto" w:fill="FFFFFF"/>
        <w:ind w:firstLine="412"/>
        <w:rPr>
          <w:rFonts w:ascii="宋体" w:hAnsi="宋体" w:cs="宋体"/>
          <w:sz w:val="24"/>
          <w:szCs w:val="24"/>
        </w:rPr>
      </w:pPr>
      <w:r>
        <w:rPr>
          <w:rFonts w:ascii="宋体" w:hAnsi="宋体" w:cs="宋体"/>
          <w:sz w:val="24"/>
          <w:szCs w:val="24"/>
        </w:rPr>
        <w:t>6.1资格和符合性评审</w:t>
      </w:r>
    </w:p>
    <w:p w14:paraId="755C409F">
      <w:pPr>
        <w:pStyle w:val="133"/>
        <w:shd w:val="clear" w:color="auto" w:fill="FFFFFF"/>
        <w:spacing w:line="360" w:lineRule="auto"/>
        <w:ind w:firstLine="412"/>
        <w:rPr>
          <w:rFonts w:ascii="宋体" w:hAnsi="宋体" w:cs="宋体"/>
          <w:sz w:val="24"/>
          <w:szCs w:val="24"/>
        </w:rPr>
      </w:pPr>
      <w:r>
        <w:rPr>
          <w:rFonts w:hint="eastAsia" w:ascii="宋体" w:hAnsi="宋体" w:cs="宋体"/>
          <w:sz w:val="24"/>
          <w:szCs w:val="24"/>
        </w:rPr>
        <w:t>资格和符合性评审：磋商小组依据采购文件规定的标准进行评审，不符合评审标准的，则按否决其无效处理。</w:t>
      </w:r>
    </w:p>
    <w:p w14:paraId="368CEA8B">
      <w:pPr>
        <w:pStyle w:val="133"/>
        <w:shd w:val="clear" w:color="auto" w:fill="FFFFFF"/>
        <w:spacing w:line="360" w:lineRule="auto"/>
        <w:ind w:firstLine="412"/>
        <w:rPr>
          <w:rFonts w:ascii="宋体" w:hAnsi="宋体" w:cs="宋体"/>
          <w:sz w:val="24"/>
          <w:szCs w:val="24"/>
        </w:rPr>
      </w:pPr>
      <w:r>
        <w:rPr>
          <w:rFonts w:ascii="宋体" w:hAnsi="宋体" w:cs="宋体"/>
          <w:sz w:val="24"/>
          <w:szCs w:val="24"/>
        </w:rPr>
        <w:t>6.2商务标评审</w:t>
      </w:r>
    </w:p>
    <w:p w14:paraId="6E1DE77E">
      <w:pPr>
        <w:spacing w:line="360" w:lineRule="auto"/>
        <w:ind w:firstLine="420" w:firstLineChars="175"/>
        <w:rPr>
          <w:rFonts w:ascii="宋体" w:hAnsi="宋体" w:cs="宋体"/>
          <w:sz w:val="24"/>
        </w:rPr>
      </w:pPr>
      <w:r>
        <w:rPr>
          <w:rFonts w:ascii="宋体" w:hAnsi="宋体" w:cs="宋体"/>
          <w:sz w:val="24"/>
        </w:rPr>
        <w:t>6.2.1</w:t>
      </w:r>
      <w:r>
        <w:rPr>
          <w:rFonts w:hint="eastAsia" w:ascii="宋体" w:hAnsi="宋体" w:cs="宋体"/>
          <w:sz w:val="24"/>
        </w:rPr>
        <w:t>响应报价</w:t>
      </w:r>
      <w:r>
        <w:rPr>
          <w:rFonts w:ascii="宋体" w:hAnsi="宋体" w:cs="宋体"/>
          <w:sz w:val="24"/>
        </w:rPr>
        <w:t>评审：</w:t>
      </w:r>
    </w:p>
    <w:p w14:paraId="6CC29543">
      <w:pPr>
        <w:spacing w:line="360" w:lineRule="auto"/>
        <w:ind w:firstLine="480" w:firstLineChars="200"/>
        <w:rPr>
          <w:rFonts w:ascii="宋体" w:hAnsi="宋体" w:cs="宋体"/>
          <w:bCs/>
          <w:sz w:val="24"/>
        </w:rPr>
      </w:pPr>
      <w:r>
        <w:rPr>
          <w:rFonts w:hint="eastAsia" w:ascii="宋体" w:hAnsi="宋体" w:cs="宋体"/>
          <w:bCs/>
          <w:sz w:val="24"/>
        </w:rPr>
        <w:t>（</w:t>
      </w:r>
      <w:r>
        <w:rPr>
          <w:rFonts w:ascii="宋体" w:hAnsi="宋体" w:cs="宋体"/>
          <w:bCs/>
          <w:sz w:val="24"/>
        </w:rPr>
        <w:t>1）</w:t>
      </w:r>
      <w:r>
        <w:rPr>
          <w:rFonts w:hint="eastAsia" w:ascii="宋体" w:hAnsi="宋体" w:cs="宋体"/>
          <w:bCs/>
          <w:sz w:val="24"/>
        </w:rPr>
        <w:t>响应报价</w:t>
      </w:r>
      <w:r>
        <w:rPr>
          <w:rFonts w:ascii="宋体" w:hAnsi="宋体" w:cs="宋体"/>
          <w:bCs/>
          <w:sz w:val="24"/>
        </w:rPr>
        <w:t>总价的评审：出现以下情况否决其</w:t>
      </w:r>
      <w:r>
        <w:rPr>
          <w:rFonts w:hint="eastAsia" w:ascii="宋体" w:hAnsi="宋体" w:cs="宋体"/>
          <w:bCs/>
          <w:sz w:val="24"/>
        </w:rPr>
        <w:t>无效</w:t>
      </w:r>
      <w:r>
        <w:rPr>
          <w:rFonts w:ascii="宋体" w:hAnsi="宋体" w:cs="宋体"/>
          <w:bCs/>
          <w:sz w:val="24"/>
        </w:rPr>
        <w:t>。</w:t>
      </w:r>
    </w:p>
    <w:p w14:paraId="0923D9BC">
      <w:pPr>
        <w:spacing w:line="360" w:lineRule="auto"/>
        <w:ind w:firstLine="480" w:firstLineChars="200"/>
        <w:rPr>
          <w:rFonts w:ascii="宋体" w:hAnsi="宋体" w:cs="宋体"/>
          <w:bCs/>
          <w:sz w:val="24"/>
        </w:rPr>
      </w:pPr>
      <w:r>
        <w:rPr>
          <w:rFonts w:ascii="宋体" w:hAnsi="宋体" w:cs="宋体"/>
          <w:bCs/>
          <w:sz w:val="24"/>
        </w:rPr>
        <w:t>a、</w:t>
      </w:r>
      <w:r>
        <w:rPr>
          <w:rFonts w:hint="eastAsia" w:ascii="宋体" w:hAnsi="宋体" w:cs="宋体"/>
          <w:bCs/>
          <w:sz w:val="24"/>
        </w:rPr>
        <w:t>磋商</w:t>
      </w:r>
      <w:r>
        <w:rPr>
          <w:rFonts w:ascii="宋体" w:hAnsi="宋体" w:cs="宋体"/>
          <w:bCs/>
          <w:sz w:val="24"/>
        </w:rPr>
        <w:t>函未按照采购文件规定签字盖章的；</w:t>
      </w:r>
    </w:p>
    <w:p w14:paraId="4E50457E">
      <w:pPr>
        <w:spacing w:line="360" w:lineRule="auto"/>
        <w:ind w:firstLine="480" w:firstLineChars="200"/>
        <w:rPr>
          <w:rFonts w:ascii="宋体" w:hAnsi="宋体" w:cs="宋体"/>
          <w:bCs/>
          <w:sz w:val="24"/>
        </w:rPr>
      </w:pPr>
      <w:r>
        <w:rPr>
          <w:rFonts w:ascii="宋体" w:hAnsi="宋体" w:cs="宋体"/>
          <w:bCs/>
          <w:sz w:val="24"/>
        </w:rPr>
        <w:t>b、响应文件中对同一采购项目报有两个或多个报价的；</w:t>
      </w:r>
    </w:p>
    <w:p w14:paraId="156CC19E">
      <w:pPr>
        <w:spacing w:line="360" w:lineRule="auto"/>
        <w:ind w:firstLine="480" w:firstLineChars="200"/>
        <w:rPr>
          <w:rFonts w:ascii="宋体" w:hAnsi="宋体" w:cs="宋体"/>
          <w:bCs/>
          <w:sz w:val="24"/>
        </w:rPr>
      </w:pPr>
      <w:r>
        <w:rPr>
          <w:rFonts w:ascii="宋体" w:hAnsi="宋体" w:cs="宋体"/>
          <w:bCs/>
          <w:sz w:val="24"/>
        </w:rPr>
        <w:t>6.2.2响应文件的打分</w:t>
      </w:r>
    </w:p>
    <w:p w14:paraId="2D9FD901">
      <w:pPr>
        <w:spacing w:line="360" w:lineRule="auto"/>
        <w:ind w:firstLine="480" w:firstLineChars="200"/>
        <w:rPr>
          <w:rFonts w:ascii="宋体" w:hAnsi="宋体" w:cs="宋体"/>
          <w:bCs/>
          <w:sz w:val="24"/>
        </w:rPr>
      </w:pPr>
      <w:r>
        <w:rPr>
          <w:rFonts w:hint="eastAsia" w:ascii="宋体" w:hAnsi="宋体" w:cs="宋体"/>
          <w:bCs/>
          <w:sz w:val="24"/>
        </w:rPr>
        <w:t>由磋商小组按综合评审打分表对供应商的响应文件进行综合打分。</w:t>
      </w:r>
    </w:p>
    <w:p w14:paraId="56DCDC3C">
      <w:pPr>
        <w:spacing w:line="360" w:lineRule="auto"/>
        <w:ind w:firstLine="480" w:firstLineChars="200"/>
        <w:rPr>
          <w:rFonts w:ascii="宋体" w:hAnsi="宋体" w:cs="宋体"/>
          <w:bCs/>
          <w:sz w:val="24"/>
        </w:rPr>
      </w:pPr>
      <w:r>
        <w:rPr>
          <w:rFonts w:ascii="宋体" w:hAnsi="宋体" w:cs="宋体"/>
          <w:bCs/>
          <w:sz w:val="24"/>
        </w:rPr>
        <w:t xml:space="preserve">6.3 </w:t>
      </w:r>
      <w:r>
        <w:rPr>
          <w:rFonts w:hint="eastAsia" w:ascii="宋体" w:hAnsi="宋体" w:cs="宋体"/>
          <w:bCs/>
          <w:sz w:val="24"/>
        </w:rPr>
        <w:t>响应文件的澄清和补正</w:t>
      </w:r>
    </w:p>
    <w:p w14:paraId="62BCE27D">
      <w:pPr>
        <w:spacing w:line="360" w:lineRule="auto"/>
        <w:ind w:firstLine="480" w:firstLineChars="200"/>
        <w:rPr>
          <w:rFonts w:ascii="宋体" w:hAnsi="宋体" w:cs="宋体"/>
          <w:bCs/>
          <w:sz w:val="24"/>
        </w:rPr>
      </w:pPr>
      <w:r>
        <w:rPr>
          <w:rFonts w:ascii="宋体" w:hAnsi="宋体" w:cs="宋体"/>
          <w:bCs/>
          <w:sz w:val="24"/>
        </w:rPr>
        <w:t>6.3.1在评标过程中，磋商小组应以书面形式要求供应商对所提交的响应文件中不明确的内容进行书面澄清或说明，或者对细微偏差进行补正。磋商小组不接受供应商主动提出的澄清、说明或补正。</w:t>
      </w:r>
    </w:p>
    <w:p w14:paraId="1D8D569C">
      <w:pPr>
        <w:spacing w:line="360" w:lineRule="auto"/>
        <w:ind w:firstLine="480" w:firstLineChars="200"/>
        <w:rPr>
          <w:rFonts w:ascii="宋体" w:hAnsi="宋体" w:cs="宋体"/>
          <w:bCs/>
          <w:sz w:val="24"/>
        </w:rPr>
      </w:pPr>
      <w:r>
        <w:rPr>
          <w:rFonts w:ascii="宋体" w:hAnsi="宋体" w:cs="宋体"/>
          <w:bCs/>
          <w:sz w:val="24"/>
        </w:rPr>
        <w:t>6.3.2澄清、说明和补正不得改变响应文件的实质性内容。供应商的书面澄清、说明和补正属于响应文件的组成部分。</w:t>
      </w:r>
    </w:p>
    <w:p w14:paraId="2B35C36C">
      <w:pPr>
        <w:spacing w:line="360" w:lineRule="auto"/>
        <w:ind w:firstLine="480" w:firstLineChars="200"/>
        <w:rPr>
          <w:rFonts w:ascii="宋体" w:hAnsi="宋体" w:cs="宋体"/>
          <w:bCs/>
          <w:sz w:val="24"/>
        </w:rPr>
      </w:pPr>
      <w:r>
        <w:rPr>
          <w:rFonts w:ascii="宋体" w:hAnsi="宋体" w:cs="宋体"/>
          <w:bCs/>
          <w:sz w:val="24"/>
        </w:rPr>
        <w:t>6.3.3磋商小组对供应商提交的澄清、说明或补正有疑问的，可以要求供应商进一步澄清、说明或补正，直至满足磋商小组的要求。</w:t>
      </w:r>
    </w:p>
    <w:p w14:paraId="338CB04A">
      <w:pPr>
        <w:spacing w:line="360" w:lineRule="auto"/>
        <w:ind w:firstLine="480" w:firstLineChars="200"/>
        <w:rPr>
          <w:rFonts w:ascii="宋体" w:hAnsi="宋体" w:cs="宋体"/>
          <w:bCs/>
          <w:sz w:val="24"/>
        </w:rPr>
      </w:pPr>
      <w:bookmarkStart w:id="221" w:name="_Toc152042374"/>
      <w:bookmarkStart w:id="222" w:name="_Toc296602485"/>
      <w:bookmarkStart w:id="223" w:name="_Toc144974564"/>
      <w:bookmarkStart w:id="224" w:name="_Toc152045597"/>
      <w:bookmarkStart w:id="225" w:name="_Toc179632615"/>
      <w:bookmarkStart w:id="226" w:name="_Toc246996983"/>
      <w:bookmarkStart w:id="227" w:name="_Toc247085755"/>
      <w:bookmarkStart w:id="228" w:name="_Toc246996240"/>
      <w:r>
        <w:rPr>
          <w:rFonts w:ascii="宋体" w:hAnsi="宋体" w:cs="宋体"/>
          <w:bCs/>
          <w:sz w:val="24"/>
        </w:rPr>
        <w:t>6.4评标结果</w:t>
      </w:r>
      <w:bookmarkEnd w:id="221"/>
      <w:bookmarkEnd w:id="222"/>
      <w:bookmarkEnd w:id="223"/>
      <w:bookmarkEnd w:id="224"/>
      <w:bookmarkEnd w:id="225"/>
      <w:bookmarkEnd w:id="226"/>
      <w:bookmarkEnd w:id="227"/>
      <w:bookmarkEnd w:id="228"/>
    </w:p>
    <w:p w14:paraId="2B76D604">
      <w:pPr>
        <w:spacing w:line="360" w:lineRule="auto"/>
        <w:ind w:firstLine="480" w:firstLineChars="200"/>
        <w:rPr>
          <w:rFonts w:ascii="宋体" w:hAnsi="宋体" w:cs="宋体"/>
          <w:bCs/>
          <w:sz w:val="24"/>
        </w:rPr>
      </w:pPr>
      <w:r>
        <w:rPr>
          <w:rFonts w:ascii="宋体" w:hAnsi="宋体" w:cs="宋体"/>
          <w:bCs/>
          <w:sz w:val="24"/>
        </w:rPr>
        <w:t>6.4.1除第二章“供应商须知”前附表授权直接确定成交供应商外，磋商小组按照评审结果推荐 3</w:t>
      </w:r>
      <w:r>
        <w:rPr>
          <w:rFonts w:hint="eastAsia" w:ascii="宋体" w:hAnsi="宋体" w:cs="宋体"/>
          <w:bCs/>
          <w:sz w:val="24"/>
        </w:rPr>
        <w:t>名成交候选供应商，并标明排列顺序。</w:t>
      </w:r>
    </w:p>
    <w:p w14:paraId="33AB2B09">
      <w:pPr>
        <w:spacing w:line="360" w:lineRule="auto"/>
        <w:ind w:firstLine="480" w:firstLineChars="200"/>
        <w:rPr>
          <w:rFonts w:ascii="宋体" w:hAnsi="宋体" w:cs="宋体"/>
          <w:bCs/>
          <w:sz w:val="24"/>
        </w:rPr>
      </w:pPr>
      <w:r>
        <w:rPr>
          <w:rFonts w:ascii="宋体" w:hAnsi="宋体" w:cs="宋体"/>
          <w:bCs/>
          <w:sz w:val="24"/>
        </w:rPr>
        <w:t>6.4.2磋商小组完成评标后，应当向采购人提交书面评标报告。评标报告应</w:t>
      </w:r>
      <w:r>
        <w:rPr>
          <w:rFonts w:hint="eastAsia" w:ascii="宋体" w:hAnsi="宋体" w:cs="宋体"/>
          <w:bCs/>
          <w:sz w:val="24"/>
        </w:rPr>
        <w:t>包括但不限于记载以下内容：</w:t>
      </w:r>
    </w:p>
    <w:p w14:paraId="18CD70E4">
      <w:pPr>
        <w:spacing w:line="360" w:lineRule="auto"/>
        <w:ind w:firstLine="480" w:firstLineChars="200"/>
        <w:rPr>
          <w:rFonts w:ascii="宋体" w:hAnsi="宋体" w:cs="宋体"/>
          <w:bCs/>
          <w:sz w:val="24"/>
        </w:rPr>
      </w:pPr>
      <w:r>
        <w:rPr>
          <w:rFonts w:ascii="宋体" w:hAnsi="宋体" w:cs="宋体"/>
          <w:bCs/>
          <w:sz w:val="24"/>
        </w:rPr>
        <w:t>(1)基本情况和数据表。</w:t>
      </w:r>
    </w:p>
    <w:p w14:paraId="51C520BF">
      <w:pPr>
        <w:spacing w:line="360" w:lineRule="auto"/>
        <w:ind w:firstLine="480" w:firstLineChars="200"/>
        <w:rPr>
          <w:rFonts w:ascii="宋体" w:hAnsi="宋体" w:cs="宋体"/>
          <w:bCs/>
          <w:sz w:val="24"/>
        </w:rPr>
      </w:pPr>
      <w:r>
        <w:rPr>
          <w:rFonts w:ascii="宋体" w:hAnsi="宋体" w:cs="宋体"/>
          <w:bCs/>
          <w:sz w:val="24"/>
        </w:rPr>
        <w:t>(2)磋商小组成员名单。</w:t>
      </w:r>
    </w:p>
    <w:p w14:paraId="4DFC18FC">
      <w:pPr>
        <w:spacing w:line="360" w:lineRule="auto"/>
        <w:ind w:firstLine="480" w:firstLineChars="200"/>
        <w:rPr>
          <w:rFonts w:ascii="宋体" w:hAnsi="宋体" w:cs="宋体"/>
          <w:bCs/>
          <w:sz w:val="24"/>
        </w:rPr>
      </w:pPr>
      <w:r>
        <w:rPr>
          <w:rFonts w:ascii="宋体" w:hAnsi="宋体" w:cs="宋体"/>
          <w:bCs/>
          <w:sz w:val="24"/>
        </w:rPr>
        <w:t>(3)开标记录。</w:t>
      </w:r>
    </w:p>
    <w:p w14:paraId="7A9F53AB">
      <w:pPr>
        <w:spacing w:line="360" w:lineRule="auto"/>
        <w:ind w:firstLine="480" w:firstLineChars="200"/>
        <w:rPr>
          <w:rFonts w:ascii="宋体" w:hAnsi="宋体" w:cs="宋体"/>
          <w:bCs/>
          <w:sz w:val="24"/>
        </w:rPr>
      </w:pPr>
      <w:r>
        <w:rPr>
          <w:rFonts w:ascii="宋体" w:hAnsi="宋体" w:cs="宋体"/>
          <w:bCs/>
          <w:sz w:val="24"/>
        </w:rPr>
        <w:t>(4)符合要求的供应商一览表。</w:t>
      </w:r>
    </w:p>
    <w:p w14:paraId="4FC08493">
      <w:pPr>
        <w:spacing w:line="360" w:lineRule="auto"/>
        <w:ind w:firstLine="480" w:firstLineChars="200"/>
        <w:rPr>
          <w:rFonts w:ascii="宋体" w:hAnsi="宋体" w:cs="宋体"/>
          <w:bCs/>
          <w:sz w:val="24"/>
        </w:rPr>
      </w:pPr>
      <w:r>
        <w:rPr>
          <w:rFonts w:ascii="宋体" w:hAnsi="宋体" w:cs="宋体"/>
          <w:bCs/>
          <w:sz w:val="24"/>
        </w:rPr>
        <w:t>(5)否决其</w:t>
      </w:r>
      <w:r>
        <w:rPr>
          <w:rFonts w:hint="eastAsia" w:ascii="宋体" w:hAnsi="宋体" w:cs="宋体"/>
          <w:bCs/>
          <w:sz w:val="24"/>
        </w:rPr>
        <w:t>磋商</w:t>
      </w:r>
      <w:r>
        <w:rPr>
          <w:rFonts w:ascii="宋体" w:hAnsi="宋体" w:cs="宋体"/>
          <w:bCs/>
          <w:sz w:val="24"/>
        </w:rPr>
        <w:t>情况说明。</w:t>
      </w:r>
    </w:p>
    <w:p w14:paraId="715EAF03">
      <w:pPr>
        <w:spacing w:line="360" w:lineRule="auto"/>
        <w:ind w:firstLine="480" w:firstLineChars="200"/>
        <w:rPr>
          <w:rFonts w:ascii="宋体" w:hAnsi="宋体" w:cs="宋体"/>
          <w:bCs/>
          <w:sz w:val="24"/>
        </w:rPr>
      </w:pPr>
      <w:r>
        <w:rPr>
          <w:rFonts w:ascii="宋体" w:hAnsi="宋体" w:cs="宋体"/>
          <w:bCs/>
          <w:sz w:val="24"/>
        </w:rPr>
        <w:t>(6)评标标准、评标方法或者评标因素一览表。</w:t>
      </w:r>
    </w:p>
    <w:p w14:paraId="73FFE837">
      <w:pPr>
        <w:spacing w:line="360" w:lineRule="auto"/>
        <w:ind w:firstLine="480" w:firstLineChars="200"/>
        <w:rPr>
          <w:rFonts w:ascii="宋体" w:hAnsi="宋体" w:cs="宋体"/>
          <w:bCs/>
          <w:sz w:val="24"/>
        </w:rPr>
      </w:pPr>
      <w:bookmarkStart w:id="229" w:name="_Toc332211017"/>
      <w:r>
        <w:rPr>
          <w:rFonts w:ascii="宋体" w:hAnsi="宋体" w:cs="宋体"/>
          <w:bCs/>
          <w:sz w:val="24"/>
        </w:rPr>
        <w:t>(7)经评审的价格一览表。</w:t>
      </w:r>
      <w:bookmarkEnd w:id="229"/>
    </w:p>
    <w:p w14:paraId="0AE49755">
      <w:pPr>
        <w:spacing w:line="360" w:lineRule="auto"/>
        <w:ind w:firstLine="480" w:firstLineChars="200"/>
        <w:rPr>
          <w:rFonts w:ascii="宋体" w:hAnsi="宋体" w:cs="宋体"/>
          <w:bCs/>
          <w:sz w:val="24"/>
        </w:rPr>
      </w:pPr>
      <w:r>
        <w:rPr>
          <w:rFonts w:ascii="宋体" w:hAnsi="宋体" w:cs="宋体"/>
          <w:bCs/>
          <w:sz w:val="24"/>
        </w:rPr>
        <w:t>(8)经评审的供应商排序。</w:t>
      </w:r>
    </w:p>
    <w:p w14:paraId="0E3F7107">
      <w:pPr>
        <w:spacing w:line="360" w:lineRule="auto"/>
        <w:ind w:firstLine="480" w:firstLineChars="200"/>
        <w:rPr>
          <w:rFonts w:ascii="宋体" w:hAnsi="宋体" w:cs="宋体"/>
          <w:bCs/>
          <w:sz w:val="24"/>
        </w:rPr>
      </w:pPr>
      <w:r>
        <w:rPr>
          <w:rFonts w:ascii="宋体" w:hAnsi="宋体" w:cs="宋体"/>
          <w:bCs/>
          <w:sz w:val="24"/>
        </w:rPr>
        <w:t>(9)推荐的成交候选供应商名单与签订合同前要处理的事宜。</w:t>
      </w:r>
    </w:p>
    <w:p w14:paraId="0655A171">
      <w:pPr>
        <w:spacing w:line="360" w:lineRule="auto"/>
        <w:ind w:firstLine="480" w:firstLineChars="200"/>
        <w:rPr>
          <w:rFonts w:ascii="宋体" w:hAnsi="宋体" w:cs="宋体"/>
          <w:bCs/>
          <w:sz w:val="24"/>
        </w:rPr>
      </w:pPr>
      <w:r>
        <w:rPr>
          <w:rFonts w:ascii="宋体" w:hAnsi="宋体" w:cs="宋体"/>
          <w:bCs/>
          <w:sz w:val="24"/>
        </w:rPr>
        <w:t>(10)澄清、说明、补正事项纪要。</w:t>
      </w:r>
    </w:p>
    <w:p w14:paraId="3C068E2F">
      <w:pPr>
        <w:shd w:val="clear" w:color="auto" w:fill="FFFFFF"/>
        <w:snapToGrid w:val="0"/>
        <w:spacing w:line="360" w:lineRule="auto"/>
        <w:ind w:firstLine="480" w:firstLineChars="200"/>
        <w:rPr>
          <w:rFonts w:ascii="宋体" w:hAnsi="宋体" w:cs="宋体"/>
          <w:bCs/>
          <w:sz w:val="24"/>
        </w:rPr>
      </w:pPr>
      <w:r>
        <w:rPr>
          <w:rFonts w:ascii="宋体" w:hAnsi="宋体" w:cs="宋体"/>
          <w:bCs/>
          <w:sz w:val="24"/>
        </w:rPr>
        <w:t>6.4.3依法必须进行</w:t>
      </w:r>
      <w:r>
        <w:rPr>
          <w:rFonts w:hint="eastAsia" w:ascii="宋体" w:hAnsi="宋体" w:cs="宋体"/>
          <w:bCs/>
          <w:sz w:val="24"/>
        </w:rPr>
        <w:t>采购</w:t>
      </w:r>
      <w:r>
        <w:rPr>
          <w:rFonts w:ascii="宋体" w:hAnsi="宋体" w:cs="宋体"/>
          <w:bCs/>
          <w:sz w:val="24"/>
        </w:rPr>
        <w:t>的项目，采购人应当确定排名第一的成交候选供应商为成交供应商。排名第一的成交候选供应商放弃</w:t>
      </w:r>
      <w:r>
        <w:rPr>
          <w:rFonts w:hint="eastAsia" w:ascii="宋体" w:hAnsi="宋体" w:cs="宋体"/>
          <w:bCs/>
          <w:sz w:val="24"/>
        </w:rPr>
        <w:t>成交、因不可抗力提出不能履行合同，采购人可以确定排名第二的成交候选供应商为成交供应商。依次类推，依次确定的其他成交候选供应商与采购人预期差距较大，或者对采购人明显不利的，也可以重新采购。</w:t>
      </w:r>
    </w:p>
    <w:p w14:paraId="363D50B9">
      <w:pPr>
        <w:pStyle w:val="133"/>
        <w:spacing w:beforeLines="50" w:afterLines="50" w:line="360" w:lineRule="auto"/>
        <w:outlineLvl w:val="2"/>
        <w:rPr>
          <w:rFonts w:ascii="宋体" w:hAnsi="宋体" w:cs="宋体"/>
          <w:b/>
          <w:sz w:val="24"/>
          <w:szCs w:val="24"/>
        </w:rPr>
      </w:pPr>
      <w:bookmarkStart w:id="230" w:name="_Toc338395650"/>
      <w:bookmarkStart w:id="231" w:name="_Toc17469"/>
      <w:bookmarkStart w:id="232" w:name="_Toc30211"/>
      <w:bookmarkStart w:id="233" w:name="_Toc24572"/>
      <w:bookmarkStart w:id="234" w:name="_Toc335122775"/>
      <w:r>
        <w:rPr>
          <w:rFonts w:ascii="宋体" w:hAnsi="宋体" w:cs="宋体"/>
          <w:b/>
          <w:sz w:val="24"/>
          <w:szCs w:val="24"/>
        </w:rPr>
        <w:t>7.适用范围</w:t>
      </w:r>
      <w:bookmarkEnd w:id="230"/>
      <w:bookmarkEnd w:id="231"/>
      <w:bookmarkEnd w:id="232"/>
      <w:bookmarkEnd w:id="233"/>
      <w:bookmarkEnd w:id="234"/>
    </w:p>
    <w:p w14:paraId="4CBDF924">
      <w:pPr>
        <w:snapToGrid w:val="0"/>
        <w:spacing w:line="360" w:lineRule="auto"/>
        <w:ind w:firstLine="405"/>
        <w:rPr>
          <w:rFonts w:ascii="宋体" w:hAnsi="宋体" w:cs="宋体"/>
          <w:bCs/>
          <w:sz w:val="24"/>
        </w:rPr>
      </w:pPr>
      <w:r>
        <w:rPr>
          <w:rFonts w:hint="eastAsia" w:ascii="宋体" w:hAnsi="宋体" w:cs="宋体"/>
          <w:bCs/>
          <w:sz w:val="24"/>
        </w:rPr>
        <w:t>适用于本项目。</w:t>
      </w:r>
    </w:p>
    <w:p w14:paraId="0C737413">
      <w:pPr>
        <w:jc w:val="center"/>
        <w:outlineLvl w:val="0"/>
        <w:rPr>
          <w:rStyle w:val="95"/>
          <w:rFonts w:ascii="宋体" w:hAnsi="宋体" w:cs="宋体"/>
          <w:sz w:val="28"/>
          <w:szCs w:val="28"/>
        </w:rPr>
      </w:pPr>
      <w:r>
        <w:br w:type="page"/>
      </w:r>
      <w:bookmarkStart w:id="235" w:name="_Toc29523"/>
      <w:r>
        <w:rPr>
          <w:rStyle w:val="95"/>
          <w:rFonts w:hint="eastAsia" w:ascii="宋体" w:hAnsi="宋体" w:cs="宋体"/>
          <w:sz w:val="28"/>
          <w:szCs w:val="28"/>
        </w:rPr>
        <w:t>第四章</w:t>
      </w:r>
      <w:r>
        <w:rPr>
          <w:rStyle w:val="95"/>
          <w:rFonts w:ascii="宋体" w:hAnsi="宋体" w:cs="宋体"/>
          <w:sz w:val="28"/>
          <w:szCs w:val="28"/>
        </w:rPr>
        <w:t xml:space="preserve"> </w:t>
      </w:r>
      <w:r>
        <w:rPr>
          <w:rStyle w:val="95"/>
          <w:rFonts w:hint="eastAsia" w:ascii="宋体" w:hAnsi="宋体" w:cs="宋体"/>
          <w:sz w:val="28"/>
          <w:szCs w:val="28"/>
        </w:rPr>
        <w:t>项目需求书</w:t>
      </w:r>
      <w:bookmarkEnd w:id="235"/>
    </w:p>
    <w:p w14:paraId="79ECD230">
      <w:pPr>
        <w:widowControl/>
        <w:numPr>
          <w:ilvl w:val="0"/>
          <w:numId w:val="21"/>
        </w:numPr>
        <w:shd w:val="clear" w:color="auto" w:fill="FFFFFF"/>
        <w:tabs>
          <w:tab w:val="left" w:pos="426"/>
        </w:tabs>
        <w:spacing w:before="280" w:after="290" w:line="377" w:lineRule="auto"/>
        <w:jc w:val="left"/>
        <w:outlineLvl w:val="2"/>
        <w:rPr>
          <w:b/>
          <w:sz w:val="24"/>
        </w:rPr>
      </w:pPr>
      <w:bookmarkStart w:id="236" w:name="_Toc151802136"/>
      <w:bookmarkStart w:id="237" w:name="_Toc10039"/>
      <w:r>
        <w:rPr>
          <w:rFonts w:hint="eastAsia"/>
          <w:b/>
          <w:sz w:val="24"/>
        </w:rPr>
        <w:t>工程项目一览表</w:t>
      </w:r>
      <w:bookmarkEnd w:id="236"/>
      <w:bookmarkEnd w:id="237"/>
    </w:p>
    <w:tbl>
      <w:tblPr>
        <w:tblStyle w:val="50"/>
        <w:tblpPr w:leftFromText="180" w:rightFromText="180" w:vertAnchor="text" w:horzAnchor="margin" w:tblpXSpec="center" w:tblpY="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2"/>
        <w:gridCol w:w="2843"/>
        <w:gridCol w:w="859"/>
        <w:gridCol w:w="859"/>
        <w:gridCol w:w="859"/>
        <w:gridCol w:w="1816"/>
        <w:gridCol w:w="1874"/>
      </w:tblGrid>
      <w:tr w14:paraId="23BCB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329" w:type="pct"/>
            <w:shd w:val="clear" w:color="auto" w:fill="auto"/>
            <w:vAlign w:val="center"/>
          </w:tcPr>
          <w:p w14:paraId="5DE90FDB">
            <w:pPr>
              <w:jc w:val="center"/>
              <w:rPr>
                <w:b/>
                <w:bCs/>
                <w:szCs w:val="21"/>
              </w:rPr>
            </w:pPr>
            <w:r>
              <w:rPr>
                <w:rFonts w:hint="eastAsia"/>
                <w:b/>
                <w:bCs/>
                <w:szCs w:val="21"/>
              </w:rPr>
              <w:t>序号</w:t>
            </w:r>
          </w:p>
        </w:tc>
        <w:tc>
          <w:tcPr>
            <w:tcW w:w="1456" w:type="pct"/>
            <w:shd w:val="clear" w:color="auto" w:fill="auto"/>
            <w:vAlign w:val="center"/>
          </w:tcPr>
          <w:p w14:paraId="26F2FC30">
            <w:pPr>
              <w:jc w:val="center"/>
              <w:rPr>
                <w:b/>
                <w:bCs/>
                <w:szCs w:val="21"/>
              </w:rPr>
            </w:pPr>
            <w:r>
              <w:rPr>
                <w:rFonts w:hint="eastAsia"/>
                <w:b/>
                <w:bCs/>
                <w:szCs w:val="21"/>
              </w:rPr>
              <w:t>标的名称</w:t>
            </w:r>
          </w:p>
        </w:tc>
        <w:tc>
          <w:tcPr>
            <w:tcW w:w="440" w:type="pct"/>
            <w:shd w:val="clear" w:color="auto" w:fill="auto"/>
            <w:vAlign w:val="center"/>
          </w:tcPr>
          <w:p w14:paraId="2FAD5AB8">
            <w:pPr>
              <w:jc w:val="center"/>
              <w:rPr>
                <w:b/>
                <w:bCs/>
                <w:szCs w:val="21"/>
              </w:rPr>
            </w:pPr>
            <w:r>
              <w:rPr>
                <w:rFonts w:hint="eastAsia"/>
                <w:b/>
                <w:bCs/>
                <w:szCs w:val="21"/>
              </w:rPr>
              <w:t>数量</w:t>
            </w:r>
          </w:p>
        </w:tc>
        <w:tc>
          <w:tcPr>
            <w:tcW w:w="440" w:type="pct"/>
            <w:shd w:val="clear" w:color="auto" w:fill="auto"/>
            <w:vAlign w:val="center"/>
          </w:tcPr>
          <w:p w14:paraId="0FE39920">
            <w:pPr>
              <w:jc w:val="center"/>
              <w:rPr>
                <w:b/>
                <w:bCs/>
                <w:szCs w:val="21"/>
              </w:rPr>
            </w:pPr>
            <w:r>
              <w:rPr>
                <w:rFonts w:hint="eastAsia"/>
                <w:b/>
                <w:bCs/>
                <w:szCs w:val="21"/>
              </w:rPr>
              <w:t>单位</w:t>
            </w:r>
          </w:p>
        </w:tc>
        <w:tc>
          <w:tcPr>
            <w:tcW w:w="440" w:type="pct"/>
            <w:shd w:val="clear" w:color="auto" w:fill="auto"/>
            <w:vAlign w:val="center"/>
          </w:tcPr>
          <w:p w14:paraId="43B36A17">
            <w:pPr>
              <w:jc w:val="center"/>
              <w:rPr>
                <w:b/>
                <w:bCs/>
                <w:szCs w:val="21"/>
              </w:rPr>
            </w:pPr>
            <w:r>
              <w:rPr>
                <w:rFonts w:hint="eastAsia"/>
                <w:b/>
                <w:bCs/>
                <w:szCs w:val="21"/>
              </w:rPr>
              <w:t>备注</w:t>
            </w:r>
          </w:p>
        </w:tc>
        <w:tc>
          <w:tcPr>
            <w:tcW w:w="930" w:type="pct"/>
            <w:shd w:val="clear" w:color="auto" w:fill="auto"/>
            <w:vAlign w:val="center"/>
          </w:tcPr>
          <w:p w14:paraId="4369A60A">
            <w:pPr>
              <w:jc w:val="center"/>
              <w:rPr>
                <w:b/>
                <w:bCs/>
                <w:szCs w:val="21"/>
              </w:rPr>
            </w:pPr>
            <w:r>
              <w:rPr>
                <w:rFonts w:hint="eastAsia"/>
                <w:b/>
                <w:bCs/>
                <w:szCs w:val="21"/>
              </w:rPr>
              <w:t>预算金额</w:t>
            </w:r>
            <w:r>
              <w:rPr>
                <w:b/>
                <w:bCs/>
                <w:szCs w:val="21"/>
              </w:rPr>
              <w:t>(</w:t>
            </w:r>
            <w:r>
              <w:rPr>
                <w:rFonts w:hint="eastAsia"/>
                <w:b/>
                <w:bCs/>
                <w:szCs w:val="21"/>
              </w:rPr>
              <w:t>万元</w:t>
            </w:r>
            <w:r>
              <w:rPr>
                <w:b/>
                <w:bCs/>
                <w:szCs w:val="21"/>
              </w:rPr>
              <w:t>)</w:t>
            </w:r>
          </w:p>
        </w:tc>
        <w:tc>
          <w:tcPr>
            <w:tcW w:w="960" w:type="pct"/>
            <w:shd w:val="clear" w:color="auto" w:fill="auto"/>
            <w:vAlign w:val="center"/>
          </w:tcPr>
          <w:p w14:paraId="69D6A3F3">
            <w:pPr>
              <w:jc w:val="center"/>
              <w:rPr>
                <w:b/>
                <w:bCs/>
                <w:szCs w:val="21"/>
              </w:rPr>
            </w:pPr>
            <w:r>
              <w:rPr>
                <w:rFonts w:hint="eastAsia"/>
                <w:b/>
                <w:bCs/>
                <w:szCs w:val="21"/>
              </w:rPr>
              <w:t>最高限价（万元）</w:t>
            </w:r>
          </w:p>
        </w:tc>
      </w:tr>
      <w:tr w14:paraId="6A74D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329" w:type="pct"/>
            <w:shd w:val="clear" w:color="auto" w:fill="auto"/>
            <w:noWrap/>
            <w:vAlign w:val="center"/>
          </w:tcPr>
          <w:p w14:paraId="3D813915">
            <w:pPr>
              <w:jc w:val="center"/>
              <w:rPr>
                <w:szCs w:val="21"/>
              </w:rPr>
            </w:pPr>
            <w:r>
              <w:rPr>
                <w:szCs w:val="21"/>
              </w:rPr>
              <w:t>1</w:t>
            </w:r>
          </w:p>
        </w:tc>
        <w:tc>
          <w:tcPr>
            <w:tcW w:w="1456" w:type="pct"/>
            <w:shd w:val="clear" w:color="auto" w:fill="auto"/>
            <w:vAlign w:val="center"/>
          </w:tcPr>
          <w:p w14:paraId="53FFC85F">
            <w:pPr>
              <w:jc w:val="center"/>
              <w:rPr>
                <w:szCs w:val="21"/>
              </w:rPr>
            </w:pPr>
            <w:r>
              <w:rPr>
                <w:rFonts w:hint="eastAsia"/>
                <w:szCs w:val="21"/>
              </w:rPr>
              <w:t>皇岗海关29栋、31栋、33栋、34栋公有住房修缮项目</w:t>
            </w:r>
          </w:p>
        </w:tc>
        <w:tc>
          <w:tcPr>
            <w:tcW w:w="440" w:type="pct"/>
            <w:shd w:val="clear" w:color="auto" w:fill="auto"/>
            <w:noWrap/>
            <w:vAlign w:val="center"/>
          </w:tcPr>
          <w:p w14:paraId="1758698B">
            <w:pPr>
              <w:jc w:val="center"/>
              <w:rPr>
                <w:szCs w:val="21"/>
              </w:rPr>
            </w:pPr>
            <w:r>
              <w:rPr>
                <w:szCs w:val="21"/>
              </w:rPr>
              <w:t>1</w:t>
            </w:r>
          </w:p>
        </w:tc>
        <w:tc>
          <w:tcPr>
            <w:tcW w:w="440" w:type="pct"/>
            <w:shd w:val="clear" w:color="auto" w:fill="auto"/>
            <w:noWrap/>
            <w:vAlign w:val="center"/>
          </w:tcPr>
          <w:p w14:paraId="6DD15DDF">
            <w:pPr>
              <w:jc w:val="center"/>
              <w:rPr>
                <w:szCs w:val="21"/>
              </w:rPr>
            </w:pPr>
            <w:r>
              <w:rPr>
                <w:rFonts w:hint="eastAsia"/>
                <w:szCs w:val="21"/>
              </w:rPr>
              <w:t>项</w:t>
            </w:r>
          </w:p>
        </w:tc>
        <w:tc>
          <w:tcPr>
            <w:tcW w:w="440" w:type="pct"/>
            <w:shd w:val="clear" w:color="auto" w:fill="auto"/>
            <w:vAlign w:val="center"/>
          </w:tcPr>
          <w:p w14:paraId="6B8B6925">
            <w:pPr>
              <w:jc w:val="center"/>
              <w:rPr>
                <w:szCs w:val="21"/>
              </w:rPr>
            </w:pPr>
            <w:r>
              <w:rPr>
                <w:szCs w:val="21"/>
              </w:rPr>
              <w:t>/</w:t>
            </w:r>
          </w:p>
        </w:tc>
        <w:tc>
          <w:tcPr>
            <w:tcW w:w="930" w:type="pct"/>
            <w:shd w:val="clear" w:color="auto" w:fill="auto"/>
            <w:vAlign w:val="center"/>
          </w:tcPr>
          <w:p w14:paraId="0F730E08">
            <w:pPr>
              <w:jc w:val="center"/>
              <w:rPr>
                <w:szCs w:val="21"/>
              </w:rPr>
            </w:pPr>
            <w:r>
              <w:rPr>
                <w:rFonts w:hint="eastAsia"/>
                <w:szCs w:val="21"/>
              </w:rPr>
              <w:t>184.943334</w:t>
            </w:r>
          </w:p>
        </w:tc>
        <w:tc>
          <w:tcPr>
            <w:tcW w:w="960" w:type="pct"/>
            <w:shd w:val="clear" w:color="auto" w:fill="auto"/>
            <w:vAlign w:val="center"/>
          </w:tcPr>
          <w:p w14:paraId="3F869EC3">
            <w:pPr>
              <w:jc w:val="center"/>
              <w:rPr>
                <w:szCs w:val="21"/>
              </w:rPr>
            </w:pPr>
            <w:r>
              <w:rPr>
                <w:rFonts w:hint="eastAsia"/>
                <w:szCs w:val="21"/>
              </w:rPr>
              <w:t>184.943334</w:t>
            </w:r>
          </w:p>
        </w:tc>
      </w:tr>
    </w:tbl>
    <w:p w14:paraId="7091D072">
      <w:pPr>
        <w:widowControl/>
        <w:numPr>
          <w:ilvl w:val="0"/>
          <w:numId w:val="21"/>
        </w:numPr>
        <w:shd w:val="clear" w:color="auto" w:fill="FFFFFF"/>
        <w:tabs>
          <w:tab w:val="left" w:pos="426"/>
        </w:tabs>
        <w:spacing w:before="280" w:after="290" w:line="377" w:lineRule="auto"/>
        <w:jc w:val="left"/>
        <w:outlineLvl w:val="2"/>
        <w:rPr>
          <w:b/>
          <w:sz w:val="24"/>
        </w:rPr>
      </w:pPr>
      <w:bookmarkStart w:id="238" w:name="_Toc151802137"/>
      <w:bookmarkStart w:id="239" w:name="_Toc10567"/>
      <w:r>
        <w:rPr>
          <w:rFonts w:hint="eastAsia"/>
          <w:b/>
          <w:sz w:val="24"/>
        </w:rPr>
        <w:t>实质性响应条款</w:t>
      </w:r>
      <w:bookmarkEnd w:id="238"/>
      <w:bookmarkEnd w:id="239"/>
    </w:p>
    <w:tbl>
      <w:tblPr>
        <w:tblStyle w:val="5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3"/>
        <w:gridCol w:w="7440"/>
        <w:gridCol w:w="1499"/>
      </w:tblGrid>
      <w:tr w14:paraId="582E9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7" w:type="pct"/>
            <w:vAlign w:val="center"/>
          </w:tcPr>
          <w:p w14:paraId="68C31ACC">
            <w:pPr>
              <w:jc w:val="center"/>
              <w:rPr>
                <w:szCs w:val="21"/>
              </w:rPr>
            </w:pPr>
            <w:r>
              <w:rPr>
                <w:rFonts w:hint="eastAsia"/>
                <w:szCs w:val="21"/>
              </w:rPr>
              <w:t>序号</w:t>
            </w:r>
          </w:p>
        </w:tc>
        <w:tc>
          <w:tcPr>
            <w:tcW w:w="3813" w:type="pct"/>
            <w:vAlign w:val="center"/>
          </w:tcPr>
          <w:p w14:paraId="7738D346">
            <w:pPr>
              <w:jc w:val="center"/>
              <w:rPr>
                <w:szCs w:val="21"/>
              </w:rPr>
            </w:pPr>
            <w:r>
              <w:rPr>
                <w:rFonts w:hint="eastAsia"/>
                <w:szCs w:val="21"/>
              </w:rPr>
              <w:t>实质性响应条款</w:t>
            </w:r>
          </w:p>
        </w:tc>
        <w:tc>
          <w:tcPr>
            <w:tcW w:w="768" w:type="pct"/>
            <w:vAlign w:val="center"/>
          </w:tcPr>
          <w:p w14:paraId="1FB3A68D">
            <w:pPr>
              <w:jc w:val="center"/>
              <w:rPr>
                <w:szCs w:val="21"/>
              </w:rPr>
            </w:pPr>
            <w:r>
              <w:rPr>
                <w:rFonts w:hint="eastAsia"/>
                <w:szCs w:val="21"/>
              </w:rPr>
              <w:t>备注</w:t>
            </w:r>
          </w:p>
        </w:tc>
      </w:tr>
      <w:tr w14:paraId="688FA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7" w:type="pct"/>
            <w:vAlign w:val="center"/>
          </w:tcPr>
          <w:p w14:paraId="07E46436">
            <w:pPr>
              <w:pStyle w:val="117"/>
              <w:numPr>
                <w:ilvl w:val="0"/>
                <w:numId w:val="22"/>
              </w:numPr>
              <w:ind w:firstLineChars="0"/>
              <w:jc w:val="center"/>
              <w:rPr>
                <w:szCs w:val="21"/>
              </w:rPr>
            </w:pPr>
          </w:p>
        </w:tc>
        <w:tc>
          <w:tcPr>
            <w:tcW w:w="3813" w:type="pct"/>
            <w:vAlign w:val="center"/>
          </w:tcPr>
          <w:p w14:paraId="203FA8C4">
            <w:pPr>
              <w:jc w:val="left"/>
              <w:rPr>
                <w:bCs/>
                <w:szCs w:val="21"/>
              </w:rPr>
            </w:pPr>
            <w:r>
              <w:rPr>
                <w:rFonts w:hint="eastAsia"/>
                <w:bCs/>
                <w:szCs w:val="21"/>
              </w:rPr>
              <w:t>完全满足项目需求书中带★号条款。</w:t>
            </w:r>
          </w:p>
        </w:tc>
        <w:tc>
          <w:tcPr>
            <w:tcW w:w="768" w:type="pct"/>
            <w:vAlign w:val="center"/>
          </w:tcPr>
          <w:p w14:paraId="485C10B5">
            <w:pPr>
              <w:jc w:val="center"/>
              <w:rPr>
                <w:b/>
                <w:bCs/>
                <w:szCs w:val="21"/>
              </w:rPr>
            </w:pPr>
            <w:r>
              <w:rPr>
                <w:rFonts w:hint="eastAsia"/>
                <w:b/>
                <w:bCs/>
                <w:szCs w:val="21"/>
              </w:rPr>
              <w:t>不可负偏离</w:t>
            </w:r>
          </w:p>
        </w:tc>
      </w:tr>
    </w:tbl>
    <w:p w14:paraId="6F4B1519">
      <w:pPr>
        <w:ind w:left="424" w:leftChars="202"/>
        <w:rPr>
          <w:b/>
          <w:szCs w:val="21"/>
        </w:rPr>
      </w:pPr>
    </w:p>
    <w:p w14:paraId="77CC315E">
      <w:pPr>
        <w:ind w:firstLine="422" w:firstLineChars="200"/>
        <w:rPr>
          <w:b/>
          <w:szCs w:val="21"/>
        </w:rPr>
      </w:pPr>
      <w:r>
        <w:rPr>
          <w:rFonts w:hint="eastAsia"/>
          <w:b/>
          <w:szCs w:val="21"/>
        </w:rPr>
        <w:t>备注：</w:t>
      </w:r>
    </w:p>
    <w:p w14:paraId="5DCA2E91">
      <w:pPr>
        <w:ind w:firstLine="422" w:firstLineChars="200"/>
        <w:rPr>
          <w:b/>
        </w:rPr>
      </w:pPr>
      <w:r>
        <w:rPr>
          <w:rFonts w:hint="eastAsia"/>
          <w:b/>
          <w:szCs w:val="21"/>
        </w:rPr>
        <w:t>1.上表所列内容为不可负偏离条款，如供应商该部分内容出现负偏离或未对该部分内容进行响应，将按照符合性检查表作无效标处理</w:t>
      </w:r>
      <w:r>
        <w:rPr>
          <w:rFonts w:hint="eastAsia"/>
          <w:b/>
        </w:rPr>
        <w:t>。</w:t>
      </w:r>
    </w:p>
    <w:p w14:paraId="1103E34C">
      <w:pPr>
        <w:rPr>
          <w:b/>
        </w:rPr>
      </w:pPr>
    </w:p>
    <w:p w14:paraId="35D10322">
      <w:pPr>
        <w:widowControl/>
        <w:numPr>
          <w:ilvl w:val="0"/>
          <w:numId w:val="21"/>
        </w:numPr>
        <w:shd w:val="clear" w:color="auto" w:fill="FFFFFF"/>
        <w:tabs>
          <w:tab w:val="left" w:pos="426"/>
        </w:tabs>
        <w:spacing w:before="280" w:after="290" w:line="377" w:lineRule="auto"/>
        <w:jc w:val="left"/>
        <w:outlineLvl w:val="2"/>
        <w:rPr>
          <w:b/>
          <w:sz w:val="24"/>
        </w:rPr>
      </w:pPr>
      <w:bookmarkStart w:id="240" w:name="_Toc26194"/>
      <w:r>
        <w:rPr>
          <w:rFonts w:hint="eastAsia"/>
          <w:b/>
          <w:sz w:val="24"/>
        </w:rPr>
        <w:t>项目概况</w:t>
      </w:r>
      <w:bookmarkEnd w:id="240"/>
    </w:p>
    <w:p w14:paraId="406873AD">
      <w:pPr>
        <w:shd w:val="clear" w:color="auto" w:fill="FFFFFF"/>
        <w:spacing w:line="360" w:lineRule="auto"/>
        <w:ind w:firstLine="441" w:firstLineChars="210"/>
        <w:rPr>
          <w:rFonts w:ascii="宋体" w:hAnsi="宋体" w:cs="宋体"/>
          <w:szCs w:val="21"/>
        </w:rPr>
      </w:pPr>
      <w:r>
        <w:rPr>
          <w:rFonts w:hint="eastAsia" w:ascii="宋体" w:hAnsi="宋体" w:cs="宋体"/>
          <w:szCs w:val="21"/>
        </w:rPr>
        <w:t>1.项目数量：1项；</w:t>
      </w:r>
    </w:p>
    <w:p w14:paraId="6B8A98AF">
      <w:pPr>
        <w:shd w:val="clear" w:color="auto" w:fill="FFFFFF"/>
        <w:spacing w:line="360" w:lineRule="auto"/>
        <w:ind w:firstLine="441" w:firstLineChars="210"/>
        <w:rPr>
          <w:b/>
        </w:rPr>
      </w:pPr>
      <w:r>
        <w:rPr>
          <w:rFonts w:hint="eastAsia" w:ascii="宋体" w:hAnsi="宋体" w:cs="宋体"/>
          <w:szCs w:val="21"/>
        </w:rPr>
        <w:t>2.项目地址：深圳市福田区福田南路34号皇岗海关生活区。</w:t>
      </w:r>
    </w:p>
    <w:p w14:paraId="39DA3422">
      <w:pPr>
        <w:widowControl/>
        <w:numPr>
          <w:ilvl w:val="0"/>
          <w:numId w:val="21"/>
        </w:numPr>
        <w:shd w:val="clear" w:color="auto" w:fill="FFFFFF"/>
        <w:tabs>
          <w:tab w:val="left" w:pos="426"/>
        </w:tabs>
        <w:spacing w:before="280" w:after="290" w:line="377" w:lineRule="auto"/>
        <w:jc w:val="left"/>
        <w:outlineLvl w:val="2"/>
        <w:rPr>
          <w:b/>
          <w:sz w:val="24"/>
        </w:rPr>
      </w:pPr>
      <w:bookmarkStart w:id="241" w:name="_Toc20527"/>
      <w:bookmarkStart w:id="242" w:name="_Toc151802138"/>
      <w:r>
        <w:rPr>
          <w:rFonts w:hint="eastAsia"/>
          <w:b/>
          <w:sz w:val="24"/>
        </w:rPr>
        <w:t>具体技术要求</w:t>
      </w:r>
      <w:bookmarkEnd w:id="241"/>
      <w:bookmarkEnd w:id="242"/>
    </w:p>
    <w:p w14:paraId="4D6FAA0F">
      <w:pPr>
        <w:shd w:val="clear" w:color="auto" w:fill="FFFFFF"/>
        <w:spacing w:line="360" w:lineRule="auto"/>
        <w:ind w:firstLine="441" w:firstLineChars="210"/>
        <w:rPr>
          <w:rFonts w:ascii="宋体" w:hAnsi="宋体" w:cs="宋体"/>
          <w:szCs w:val="21"/>
        </w:rPr>
      </w:pPr>
      <w:r>
        <w:rPr>
          <w:rFonts w:hint="eastAsia" w:ascii="宋体" w:hAnsi="宋体" w:cs="宋体"/>
          <w:szCs w:val="21"/>
        </w:rPr>
        <w:t>1</w:t>
      </w:r>
      <w:r>
        <w:rPr>
          <w:rFonts w:ascii="宋体" w:hAnsi="宋体" w:cs="宋体"/>
          <w:szCs w:val="21"/>
        </w:rPr>
        <w:t>.以下给出的工程承包范围和说明描述只是概括的，不应认为是全面的、无缺的，</w:t>
      </w:r>
      <w:r>
        <w:rPr>
          <w:rFonts w:hint="eastAsia" w:ascii="宋体" w:hAnsi="宋体" w:cs="宋体"/>
          <w:szCs w:val="21"/>
        </w:rPr>
        <w:t>成交人</w:t>
      </w:r>
      <w:r>
        <w:rPr>
          <w:rFonts w:ascii="宋体" w:hAnsi="宋体" w:cs="宋体"/>
          <w:szCs w:val="21"/>
        </w:rPr>
        <w:t>应研究其他文件、工程量清单和工程现场的实际情况去完全了解本工程的实际范围；</w:t>
      </w:r>
    </w:p>
    <w:p w14:paraId="33C642C5">
      <w:pPr>
        <w:shd w:val="clear" w:color="auto" w:fill="FFFFFF"/>
        <w:spacing w:line="360" w:lineRule="auto"/>
        <w:ind w:firstLine="441" w:firstLineChars="210"/>
        <w:rPr>
          <w:rFonts w:ascii="宋体" w:hAnsi="宋体" w:cs="宋体"/>
          <w:szCs w:val="21"/>
        </w:rPr>
      </w:pPr>
      <w:r>
        <w:rPr>
          <w:rFonts w:hint="eastAsia" w:ascii="宋体" w:hAnsi="宋体" w:cs="宋体"/>
          <w:szCs w:val="21"/>
        </w:rPr>
        <w:t>2</w:t>
      </w:r>
      <w:r>
        <w:rPr>
          <w:rFonts w:ascii="宋体" w:hAnsi="宋体" w:cs="宋体"/>
          <w:szCs w:val="21"/>
        </w:rPr>
        <w:t>.</w:t>
      </w:r>
      <w:r>
        <w:rPr>
          <w:rFonts w:hint="eastAsia" w:ascii="宋体" w:hAnsi="宋体" w:cs="宋体"/>
          <w:szCs w:val="21"/>
        </w:rPr>
        <w:t>成交人</w:t>
      </w:r>
      <w:r>
        <w:rPr>
          <w:rFonts w:ascii="宋体" w:hAnsi="宋体" w:cs="宋体"/>
          <w:szCs w:val="21"/>
        </w:rPr>
        <w:t>被认为已详细阅读过构成本工程合同文件的其他有关文件。尤其是已充分研究了工程现场施工条件和了解工程的内容；</w:t>
      </w:r>
    </w:p>
    <w:p w14:paraId="793B1BC7">
      <w:pPr>
        <w:shd w:val="clear" w:color="auto" w:fill="FFFFFF"/>
        <w:spacing w:line="360" w:lineRule="auto"/>
        <w:ind w:firstLine="441" w:firstLineChars="210"/>
        <w:rPr>
          <w:rFonts w:ascii="宋体" w:hAnsi="宋体" w:cs="宋体"/>
          <w:szCs w:val="21"/>
        </w:rPr>
      </w:pPr>
      <w:r>
        <w:rPr>
          <w:rFonts w:hint="eastAsia" w:ascii="宋体" w:hAnsi="宋体" w:cs="宋体"/>
          <w:szCs w:val="21"/>
        </w:rPr>
        <w:t>3</w:t>
      </w:r>
      <w:r>
        <w:rPr>
          <w:rFonts w:ascii="宋体" w:hAnsi="宋体" w:cs="宋体"/>
          <w:szCs w:val="21"/>
        </w:rPr>
        <w:t xml:space="preserve">.★规格要求及技术参数详见工程量清单； </w:t>
      </w:r>
    </w:p>
    <w:p w14:paraId="6A1F4E5F">
      <w:pPr>
        <w:shd w:val="clear" w:color="auto" w:fill="FFFFFF"/>
        <w:spacing w:line="360" w:lineRule="auto"/>
        <w:ind w:firstLine="441" w:firstLineChars="210"/>
        <w:rPr>
          <w:rFonts w:ascii="宋体" w:hAnsi="宋体" w:cs="宋体"/>
          <w:szCs w:val="21"/>
        </w:rPr>
      </w:pPr>
      <w:r>
        <w:rPr>
          <w:rFonts w:hint="eastAsia" w:ascii="宋体" w:hAnsi="宋体" w:cs="宋体"/>
          <w:szCs w:val="21"/>
        </w:rPr>
        <w:t>4</w:t>
      </w:r>
      <w:r>
        <w:rPr>
          <w:rFonts w:ascii="宋体" w:hAnsi="宋体" w:cs="宋体"/>
          <w:szCs w:val="21"/>
        </w:rPr>
        <w:t>.★本工程的承包方式为包工包料。以造价咨询公司审定的预算项目和预算造价实行工料包干，所需材料均由</w:t>
      </w:r>
      <w:r>
        <w:rPr>
          <w:rFonts w:hint="eastAsia" w:ascii="宋体" w:hAnsi="宋体" w:cs="宋体"/>
          <w:szCs w:val="21"/>
        </w:rPr>
        <w:t>成交人</w:t>
      </w:r>
      <w:r>
        <w:rPr>
          <w:rFonts w:ascii="宋体" w:hAnsi="宋体" w:cs="宋体"/>
          <w:szCs w:val="21"/>
        </w:rPr>
        <w:t>自理，并按合同规定工期要求施工，保质按期交付</w:t>
      </w:r>
      <w:r>
        <w:rPr>
          <w:rFonts w:hint="eastAsia" w:ascii="宋体" w:hAnsi="宋体" w:cs="宋体"/>
          <w:szCs w:val="21"/>
        </w:rPr>
        <w:t>采购人</w:t>
      </w:r>
      <w:r>
        <w:rPr>
          <w:rFonts w:ascii="宋体" w:hAnsi="宋体" w:cs="宋体"/>
          <w:szCs w:val="21"/>
        </w:rPr>
        <w:t>使用。</w:t>
      </w:r>
    </w:p>
    <w:p w14:paraId="28753C15">
      <w:pPr>
        <w:shd w:val="clear" w:color="auto" w:fill="FFFFFF"/>
        <w:spacing w:line="360" w:lineRule="auto"/>
        <w:ind w:firstLine="441" w:firstLineChars="210"/>
        <w:rPr>
          <w:rFonts w:ascii="宋体" w:hAnsi="宋体" w:cs="宋体"/>
          <w:szCs w:val="21"/>
        </w:rPr>
      </w:pPr>
      <w:r>
        <w:rPr>
          <w:rFonts w:hint="eastAsia" w:ascii="宋体" w:hAnsi="宋体" w:cs="宋体"/>
          <w:szCs w:val="21"/>
        </w:rPr>
        <w:t>5</w:t>
      </w:r>
      <w:r>
        <w:rPr>
          <w:rFonts w:ascii="宋体" w:hAnsi="宋体" w:cs="宋体"/>
          <w:szCs w:val="21"/>
        </w:rPr>
        <w:t>.</w:t>
      </w:r>
      <w:r>
        <w:rPr>
          <w:rFonts w:hint="eastAsia" w:ascii="宋体" w:hAnsi="宋体" w:cs="宋体"/>
          <w:szCs w:val="21"/>
        </w:rPr>
        <w:t>成交人</w:t>
      </w:r>
      <w:r>
        <w:rPr>
          <w:rFonts w:ascii="宋体" w:hAnsi="宋体" w:cs="宋体"/>
          <w:szCs w:val="21"/>
        </w:rPr>
        <w:t>必须作好施工记录、隐蔽工程记录、施工资料的整理、竣工资料的编制等工作。</w:t>
      </w:r>
    </w:p>
    <w:p w14:paraId="53D2B536">
      <w:pPr>
        <w:shd w:val="clear" w:color="auto" w:fill="FFFFFF"/>
        <w:spacing w:line="360" w:lineRule="auto"/>
        <w:ind w:firstLine="441" w:firstLineChars="210"/>
        <w:rPr>
          <w:rFonts w:ascii="宋体" w:hAnsi="宋体" w:cs="宋体"/>
          <w:szCs w:val="21"/>
        </w:rPr>
      </w:pPr>
      <w:r>
        <w:rPr>
          <w:rFonts w:hint="eastAsia" w:ascii="宋体" w:hAnsi="宋体" w:cs="宋体"/>
          <w:szCs w:val="21"/>
        </w:rPr>
        <w:t>6</w:t>
      </w:r>
      <w:r>
        <w:rPr>
          <w:rFonts w:ascii="宋体" w:hAnsi="宋体" w:cs="宋体"/>
          <w:szCs w:val="21"/>
        </w:rPr>
        <w:t>.</w:t>
      </w:r>
      <w:r>
        <w:rPr>
          <w:rFonts w:hint="eastAsia" w:ascii="宋体" w:hAnsi="宋体" w:cs="宋体"/>
          <w:szCs w:val="21"/>
        </w:rPr>
        <w:t>成交人</w:t>
      </w:r>
      <w:r>
        <w:rPr>
          <w:rFonts w:ascii="宋体" w:hAnsi="宋体" w:cs="宋体"/>
          <w:szCs w:val="21"/>
        </w:rPr>
        <w:t>必须在施工现场显眼位置设置正规施工警示牌、工程概况牌，标注“温馨提示”语言。靠近人行通道边（或建设方以为有必要的其他周边）必须用整齐美观的板材围护密封施工。</w:t>
      </w:r>
    </w:p>
    <w:p w14:paraId="09F32429">
      <w:pPr>
        <w:shd w:val="clear" w:color="auto" w:fill="FFFFFF"/>
        <w:spacing w:line="360" w:lineRule="auto"/>
        <w:ind w:firstLine="441" w:firstLineChars="210"/>
        <w:rPr>
          <w:rFonts w:ascii="宋体" w:hAnsi="宋体" w:cs="宋体"/>
          <w:szCs w:val="21"/>
        </w:rPr>
      </w:pPr>
      <w:r>
        <w:rPr>
          <w:rFonts w:hint="eastAsia" w:ascii="宋体" w:hAnsi="宋体" w:cs="宋体"/>
          <w:szCs w:val="21"/>
        </w:rPr>
        <w:t>7</w:t>
      </w:r>
      <w:r>
        <w:rPr>
          <w:rFonts w:ascii="宋体" w:hAnsi="宋体" w:cs="宋体"/>
          <w:szCs w:val="21"/>
        </w:rPr>
        <w:t>.</w:t>
      </w:r>
      <w:r>
        <w:rPr>
          <w:rFonts w:hint="eastAsia" w:ascii="宋体" w:hAnsi="宋体" w:cs="宋体"/>
          <w:szCs w:val="21"/>
        </w:rPr>
        <w:t>成交人</w:t>
      </w:r>
      <w:r>
        <w:rPr>
          <w:rFonts w:ascii="宋体" w:hAnsi="宋体" w:cs="宋体"/>
          <w:szCs w:val="21"/>
        </w:rPr>
        <w:t>施工必须达到有关部门规定的安全文明施工标准，服从采购</w:t>
      </w:r>
      <w:r>
        <w:rPr>
          <w:rFonts w:hint="eastAsia" w:ascii="宋体" w:hAnsi="宋体" w:cs="宋体"/>
          <w:szCs w:val="21"/>
        </w:rPr>
        <w:t>人</w:t>
      </w:r>
      <w:r>
        <w:rPr>
          <w:rFonts w:ascii="宋体" w:hAnsi="宋体" w:cs="宋体"/>
          <w:szCs w:val="21"/>
        </w:rPr>
        <w:t>管理各项规定要求，避免干扰采购</w:t>
      </w:r>
      <w:r>
        <w:rPr>
          <w:rFonts w:hint="eastAsia" w:ascii="宋体" w:hAnsi="宋体" w:cs="宋体"/>
          <w:szCs w:val="21"/>
        </w:rPr>
        <w:t>人</w:t>
      </w:r>
      <w:r>
        <w:rPr>
          <w:rFonts w:ascii="宋体" w:hAnsi="宋体" w:cs="宋体"/>
          <w:szCs w:val="21"/>
        </w:rPr>
        <w:t>的正常工作秩序，认真做好施工现场防护、防火、噪音、用电等安全文明施工各项管理工作，承担相应一切责任，确保施工场地区域道路通畅，保持施工现场整洁，做到工完场清，达到国家卫生城市标准。</w:t>
      </w:r>
    </w:p>
    <w:p w14:paraId="4BC30545">
      <w:pPr>
        <w:shd w:val="clear" w:color="auto" w:fill="FFFFFF"/>
        <w:spacing w:line="360" w:lineRule="auto"/>
        <w:ind w:firstLine="441" w:firstLineChars="210"/>
        <w:rPr>
          <w:rFonts w:ascii="宋体" w:hAnsi="宋体" w:cs="宋体"/>
          <w:szCs w:val="21"/>
        </w:rPr>
      </w:pPr>
      <w:r>
        <w:rPr>
          <w:rFonts w:hint="eastAsia" w:ascii="宋体" w:hAnsi="宋体" w:cs="宋体"/>
          <w:szCs w:val="21"/>
        </w:rPr>
        <w:t>8</w:t>
      </w:r>
      <w:r>
        <w:rPr>
          <w:rFonts w:ascii="宋体" w:hAnsi="宋体" w:cs="宋体"/>
          <w:szCs w:val="21"/>
        </w:rPr>
        <w:t>.</w:t>
      </w:r>
      <w:r>
        <w:rPr>
          <w:rFonts w:hint="eastAsia" w:ascii="宋体" w:hAnsi="宋体" w:cs="宋体"/>
          <w:szCs w:val="21"/>
        </w:rPr>
        <w:t>成交人</w:t>
      </w:r>
      <w:r>
        <w:rPr>
          <w:rFonts w:ascii="宋体" w:hAnsi="宋体" w:cs="宋体"/>
          <w:szCs w:val="21"/>
        </w:rPr>
        <w:t>必须在施工过程中注意自身及周边安全，做好现场及周边安全设施搭设，遵守有关安全保护规程，负责施工过程中的所有事故处理和费用。</w:t>
      </w:r>
    </w:p>
    <w:p w14:paraId="7D187FF2">
      <w:pPr>
        <w:shd w:val="clear" w:color="auto" w:fill="FFFFFF"/>
        <w:spacing w:line="360" w:lineRule="auto"/>
        <w:ind w:firstLine="441" w:firstLineChars="210"/>
        <w:rPr>
          <w:rFonts w:ascii="宋体" w:hAnsi="宋体" w:cs="宋体"/>
          <w:szCs w:val="21"/>
        </w:rPr>
      </w:pPr>
      <w:r>
        <w:rPr>
          <w:rFonts w:hint="eastAsia" w:ascii="宋体" w:hAnsi="宋体" w:cs="宋体"/>
          <w:szCs w:val="21"/>
        </w:rPr>
        <w:t>9</w:t>
      </w:r>
      <w:r>
        <w:rPr>
          <w:rFonts w:ascii="宋体" w:hAnsi="宋体" w:cs="宋体"/>
          <w:szCs w:val="21"/>
        </w:rPr>
        <w:t>.</w:t>
      </w:r>
      <w:r>
        <w:rPr>
          <w:rFonts w:hint="eastAsia" w:ascii="宋体" w:hAnsi="宋体" w:cs="宋体"/>
          <w:szCs w:val="21"/>
        </w:rPr>
        <w:t>成交人</w:t>
      </w:r>
      <w:r>
        <w:rPr>
          <w:rFonts w:ascii="宋体" w:hAnsi="宋体" w:cs="宋体"/>
          <w:szCs w:val="21"/>
        </w:rPr>
        <w:t>必须服从</w:t>
      </w:r>
      <w:r>
        <w:rPr>
          <w:rFonts w:hint="eastAsia" w:ascii="宋体" w:hAnsi="宋体" w:cs="宋体"/>
          <w:szCs w:val="21"/>
        </w:rPr>
        <w:t>采购人</w:t>
      </w:r>
      <w:r>
        <w:rPr>
          <w:rFonts w:ascii="宋体" w:hAnsi="宋体" w:cs="宋体"/>
          <w:szCs w:val="21"/>
        </w:rPr>
        <w:t>，监理公司的监督、指导并积极主动配合上述管理机构的工作。</w:t>
      </w:r>
    </w:p>
    <w:p w14:paraId="38BA397A">
      <w:pPr>
        <w:shd w:val="clear" w:color="auto" w:fill="FFFFFF"/>
        <w:spacing w:line="360" w:lineRule="auto"/>
        <w:ind w:firstLine="441" w:firstLineChars="210"/>
        <w:rPr>
          <w:rFonts w:ascii="宋体" w:hAnsi="宋体" w:cs="宋体"/>
          <w:szCs w:val="21"/>
        </w:rPr>
      </w:pPr>
      <w:r>
        <w:rPr>
          <w:rFonts w:ascii="宋体" w:hAnsi="宋体" w:cs="宋体"/>
          <w:szCs w:val="21"/>
        </w:rPr>
        <w:t>1</w:t>
      </w:r>
      <w:r>
        <w:rPr>
          <w:rFonts w:hint="eastAsia" w:ascii="宋体" w:hAnsi="宋体" w:cs="宋体"/>
          <w:szCs w:val="21"/>
        </w:rPr>
        <w:t>0</w:t>
      </w:r>
      <w:r>
        <w:rPr>
          <w:rFonts w:ascii="宋体" w:hAnsi="宋体" w:cs="宋体"/>
          <w:szCs w:val="21"/>
        </w:rPr>
        <w:t>.</w:t>
      </w:r>
      <w:r>
        <w:rPr>
          <w:rFonts w:hint="eastAsia" w:ascii="宋体" w:hAnsi="宋体" w:cs="宋体"/>
          <w:szCs w:val="21"/>
        </w:rPr>
        <w:t>成交人</w:t>
      </w:r>
      <w:r>
        <w:rPr>
          <w:rFonts w:ascii="宋体" w:hAnsi="宋体" w:cs="宋体"/>
          <w:szCs w:val="21"/>
        </w:rPr>
        <w:t>施工时须提供材料样板，经采购</w:t>
      </w:r>
      <w:r>
        <w:rPr>
          <w:rFonts w:hint="eastAsia" w:ascii="宋体" w:hAnsi="宋体" w:cs="宋体"/>
          <w:szCs w:val="21"/>
        </w:rPr>
        <w:t>人</w:t>
      </w:r>
      <w:r>
        <w:rPr>
          <w:rFonts w:ascii="宋体" w:hAnsi="宋体" w:cs="宋体"/>
          <w:szCs w:val="21"/>
        </w:rPr>
        <w:t>最终确认后，方可进场使用，</w:t>
      </w:r>
      <w:r>
        <w:rPr>
          <w:rFonts w:hint="eastAsia" w:ascii="宋体" w:hAnsi="宋体" w:cs="宋体"/>
          <w:szCs w:val="21"/>
        </w:rPr>
        <w:t>成交人</w:t>
      </w:r>
      <w:r>
        <w:rPr>
          <w:rFonts w:ascii="宋体" w:hAnsi="宋体" w:cs="宋体"/>
          <w:szCs w:val="21"/>
        </w:rPr>
        <w:t>所提供的样板或厂家应符合设计图纸要求及采购</w:t>
      </w:r>
      <w:r>
        <w:rPr>
          <w:rFonts w:hint="eastAsia" w:ascii="宋体" w:hAnsi="宋体" w:cs="宋体"/>
          <w:szCs w:val="21"/>
        </w:rPr>
        <w:t>人</w:t>
      </w:r>
      <w:r>
        <w:rPr>
          <w:rFonts w:ascii="宋体" w:hAnsi="宋体" w:cs="宋体"/>
          <w:szCs w:val="21"/>
        </w:rPr>
        <w:t>确认要求，如</w:t>
      </w:r>
      <w:r>
        <w:rPr>
          <w:rFonts w:hint="eastAsia" w:ascii="宋体" w:hAnsi="宋体" w:cs="宋体"/>
          <w:szCs w:val="21"/>
        </w:rPr>
        <w:t>成交人</w:t>
      </w:r>
      <w:r>
        <w:rPr>
          <w:rFonts w:ascii="宋体" w:hAnsi="宋体" w:cs="宋体"/>
          <w:szCs w:val="21"/>
        </w:rPr>
        <w:t>不能提供的可由采购</w:t>
      </w:r>
      <w:r>
        <w:rPr>
          <w:rFonts w:hint="eastAsia" w:ascii="宋体" w:hAnsi="宋体" w:cs="宋体"/>
          <w:szCs w:val="21"/>
        </w:rPr>
        <w:t>人</w:t>
      </w:r>
      <w:r>
        <w:rPr>
          <w:rFonts w:ascii="宋体" w:hAnsi="宋体" w:cs="宋体"/>
          <w:szCs w:val="21"/>
        </w:rPr>
        <w:t>根据市场考察情况确认并实施。</w:t>
      </w:r>
    </w:p>
    <w:p w14:paraId="460FFC7B">
      <w:pPr>
        <w:shd w:val="clear" w:color="auto" w:fill="FFFFFF"/>
        <w:spacing w:line="360" w:lineRule="auto"/>
        <w:ind w:firstLine="441" w:firstLineChars="210"/>
        <w:rPr>
          <w:rFonts w:ascii="宋体" w:hAnsi="宋体" w:cs="宋体"/>
          <w:szCs w:val="21"/>
        </w:rPr>
      </w:pPr>
      <w:r>
        <w:rPr>
          <w:rFonts w:ascii="宋体" w:hAnsi="宋体" w:cs="宋体"/>
          <w:szCs w:val="21"/>
        </w:rPr>
        <w:t>1</w:t>
      </w:r>
      <w:r>
        <w:rPr>
          <w:rFonts w:hint="eastAsia" w:ascii="宋体" w:hAnsi="宋体" w:cs="宋体"/>
          <w:szCs w:val="21"/>
        </w:rPr>
        <w:t>1</w:t>
      </w:r>
      <w:r>
        <w:rPr>
          <w:rFonts w:ascii="宋体" w:hAnsi="宋体" w:cs="宋体"/>
          <w:szCs w:val="21"/>
        </w:rPr>
        <w:t>.用在本工程的任何材料在使用前必须得到采购</w:t>
      </w:r>
      <w:r>
        <w:rPr>
          <w:rFonts w:hint="eastAsia" w:ascii="宋体" w:hAnsi="宋体" w:cs="宋体"/>
          <w:szCs w:val="21"/>
        </w:rPr>
        <w:t>人</w:t>
      </w:r>
      <w:r>
        <w:rPr>
          <w:rFonts w:ascii="宋体" w:hAnsi="宋体" w:cs="宋体"/>
          <w:szCs w:val="21"/>
        </w:rPr>
        <w:t>的批准，样品须在大批订货前送审。获准的样品存放在工地，作为以后验收材料的标准。样品和其包装，由</w:t>
      </w:r>
      <w:r>
        <w:rPr>
          <w:rFonts w:hint="eastAsia" w:ascii="宋体" w:hAnsi="宋体" w:cs="宋体"/>
          <w:szCs w:val="21"/>
        </w:rPr>
        <w:t>成交人</w:t>
      </w:r>
      <w:r>
        <w:rPr>
          <w:rFonts w:ascii="宋体" w:hAnsi="宋体" w:cs="宋体"/>
          <w:szCs w:val="21"/>
        </w:rPr>
        <w:t>无偿提供。</w:t>
      </w:r>
    </w:p>
    <w:p w14:paraId="0F0D7D2E">
      <w:pPr>
        <w:shd w:val="clear" w:color="auto" w:fill="FFFFFF"/>
        <w:spacing w:line="360" w:lineRule="auto"/>
        <w:ind w:firstLine="441" w:firstLineChars="210"/>
        <w:rPr>
          <w:rFonts w:ascii="宋体" w:hAnsi="宋体" w:cs="宋体"/>
          <w:szCs w:val="21"/>
        </w:rPr>
      </w:pPr>
      <w:r>
        <w:rPr>
          <w:rFonts w:ascii="宋体" w:hAnsi="宋体" w:cs="宋体"/>
          <w:szCs w:val="21"/>
        </w:rPr>
        <w:t>1</w:t>
      </w:r>
      <w:r>
        <w:rPr>
          <w:rFonts w:hint="eastAsia" w:ascii="宋体" w:hAnsi="宋体" w:cs="宋体"/>
          <w:szCs w:val="21"/>
        </w:rPr>
        <w:t>2</w:t>
      </w:r>
      <w:r>
        <w:rPr>
          <w:rFonts w:ascii="宋体" w:hAnsi="宋体" w:cs="宋体"/>
          <w:szCs w:val="21"/>
        </w:rPr>
        <w:t>.</w:t>
      </w:r>
      <w:r>
        <w:rPr>
          <w:rFonts w:hint="eastAsia" w:ascii="宋体" w:hAnsi="宋体" w:cs="宋体"/>
          <w:szCs w:val="21"/>
        </w:rPr>
        <w:t>成交人</w:t>
      </w:r>
      <w:r>
        <w:rPr>
          <w:rFonts w:ascii="宋体" w:hAnsi="宋体" w:cs="宋体"/>
          <w:szCs w:val="21"/>
        </w:rPr>
        <w:t>在工程施工前，须全面检查工地情况，若发现错误须立刻通知工程师。若未能遵从此规定，使本工程的任何项目因此等错误或缺陷而错误地建造，则</w:t>
      </w:r>
      <w:r>
        <w:rPr>
          <w:rFonts w:hint="eastAsia" w:ascii="宋体" w:hAnsi="宋体" w:cs="宋体"/>
          <w:szCs w:val="21"/>
        </w:rPr>
        <w:t>成交人</w:t>
      </w:r>
      <w:r>
        <w:rPr>
          <w:rFonts w:ascii="宋体" w:hAnsi="宋体" w:cs="宋体"/>
          <w:szCs w:val="21"/>
        </w:rPr>
        <w:t>须自费予以拆除及重建。</w:t>
      </w:r>
    </w:p>
    <w:p w14:paraId="3B575D8D">
      <w:pPr>
        <w:shd w:val="clear" w:color="auto" w:fill="FFFFFF"/>
        <w:spacing w:line="360" w:lineRule="auto"/>
        <w:ind w:firstLine="441" w:firstLineChars="210"/>
        <w:rPr>
          <w:rFonts w:ascii="宋体" w:hAnsi="宋体" w:cs="宋体"/>
          <w:szCs w:val="21"/>
        </w:rPr>
      </w:pPr>
      <w:r>
        <w:rPr>
          <w:rFonts w:ascii="宋体" w:hAnsi="宋体" w:cs="宋体"/>
          <w:szCs w:val="21"/>
        </w:rPr>
        <w:t>1</w:t>
      </w:r>
      <w:r>
        <w:rPr>
          <w:rFonts w:hint="eastAsia" w:ascii="宋体" w:hAnsi="宋体" w:cs="宋体"/>
          <w:szCs w:val="21"/>
        </w:rPr>
        <w:t>3</w:t>
      </w:r>
      <w:r>
        <w:rPr>
          <w:rFonts w:ascii="宋体" w:hAnsi="宋体" w:cs="宋体"/>
          <w:szCs w:val="21"/>
        </w:rPr>
        <w:t>.实行项目经理负责制，并按</w:t>
      </w:r>
      <w:r>
        <w:rPr>
          <w:rFonts w:hint="eastAsia" w:ascii="宋体" w:hAnsi="宋体" w:cs="宋体"/>
          <w:szCs w:val="21"/>
        </w:rPr>
        <w:t>响应</w:t>
      </w:r>
      <w:r>
        <w:rPr>
          <w:rFonts w:ascii="宋体" w:hAnsi="宋体" w:cs="宋体"/>
          <w:szCs w:val="21"/>
        </w:rPr>
        <w:t>文件配备项目管理班子。如未经采购</w:t>
      </w:r>
      <w:r>
        <w:rPr>
          <w:rFonts w:hint="eastAsia" w:ascii="宋体" w:hAnsi="宋体" w:cs="宋体"/>
          <w:szCs w:val="21"/>
        </w:rPr>
        <w:t>人</w:t>
      </w:r>
      <w:r>
        <w:rPr>
          <w:rFonts w:ascii="宋体" w:hAnsi="宋体" w:cs="宋体"/>
          <w:szCs w:val="21"/>
        </w:rPr>
        <w:t>同意更换项目班子成员，采购</w:t>
      </w:r>
      <w:r>
        <w:rPr>
          <w:rFonts w:hint="eastAsia" w:ascii="宋体" w:hAnsi="宋体" w:cs="宋体"/>
          <w:szCs w:val="21"/>
        </w:rPr>
        <w:t>人</w:t>
      </w:r>
      <w:r>
        <w:rPr>
          <w:rFonts w:ascii="宋体" w:hAnsi="宋体" w:cs="宋体"/>
          <w:szCs w:val="21"/>
        </w:rPr>
        <w:t>有权取消</w:t>
      </w:r>
      <w:r>
        <w:rPr>
          <w:rFonts w:hint="eastAsia" w:ascii="宋体" w:hAnsi="宋体" w:cs="宋体"/>
          <w:szCs w:val="21"/>
        </w:rPr>
        <w:t>供应商</w:t>
      </w:r>
      <w:r>
        <w:rPr>
          <w:rFonts w:ascii="宋体" w:hAnsi="宋体" w:cs="宋体"/>
          <w:szCs w:val="21"/>
        </w:rPr>
        <w:t>的</w:t>
      </w:r>
      <w:r>
        <w:rPr>
          <w:rFonts w:hint="eastAsia" w:ascii="宋体" w:hAnsi="宋体" w:cs="宋体"/>
          <w:szCs w:val="21"/>
        </w:rPr>
        <w:t>成交</w:t>
      </w:r>
      <w:r>
        <w:rPr>
          <w:rFonts w:ascii="宋体" w:hAnsi="宋体" w:cs="宋体"/>
          <w:szCs w:val="21"/>
        </w:rPr>
        <w:t>资格或单方面终止合同，由此造成的违约责任由</w:t>
      </w:r>
      <w:r>
        <w:rPr>
          <w:rFonts w:hint="eastAsia" w:ascii="宋体" w:hAnsi="宋体" w:cs="宋体"/>
          <w:szCs w:val="21"/>
        </w:rPr>
        <w:t>成交人</w:t>
      </w:r>
      <w:r>
        <w:rPr>
          <w:rFonts w:ascii="宋体" w:hAnsi="宋体" w:cs="宋体"/>
          <w:szCs w:val="21"/>
        </w:rPr>
        <w:t>承担。</w:t>
      </w:r>
    </w:p>
    <w:p w14:paraId="2F0E3B36">
      <w:pPr>
        <w:shd w:val="clear" w:color="auto" w:fill="FFFFFF"/>
        <w:spacing w:line="360" w:lineRule="auto"/>
        <w:ind w:firstLine="441" w:firstLineChars="210"/>
        <w:rPr>
          <w:rFonts w:ascii="宋体" w:hAnsi="宋体" w:cs="宋体"/>
          <w:szCs w:val="21"/>
        </w:rPr>
      </w:pPr>
      <w:r>
        <w:rPr>
          <w:rFonts w:ascii="宋体" w:hAnsi="宋体" w:cs="宋体"/>
          <w:szCs w:val="21"/>
        </w:rPr>
        <w:t>1</w:t>
      </w:r>
      <w:r>
        <w:rPr>
          <w:rFonts w:hint="eastAsia" w:ascii="宋体" w:hAnsi="宋体" w:cs="宋体"/>
          <w:szCs w:val="21"/>
        </w:rPr>
        <w:t>4</w:t>
      </w:r>
      <w:r>
        <w:rPr>
          <w:rFonts w:ascii="宋体" w:hAnsi="宋体" w:cs="宋体"/>
          <w:szCs w:val="21"/>
        </w:rPr>
        <w:t>.施工期间，不得影响其他业主的日常生活开展。</w:t>
      </w:r>
    </w:p>
    <w:p w14:paraId="6E7CDA61">
      <w:pPr>
        <w:shd w:val="clear" w:color="auto" w:fill="FFFFFF"/>
        <w:spacing w:line="360" w:lineRule="auto"/>
        <w:ind w:firstLine="441" w:firstLineChars="210"/>
        <w:rPr>
          <w:rFonts w:ascii="宋体" w:hAnsi="宋体" w:cs="宋体"/>
          <w:szCs w:val="21"/>
        </w:rPr>
      </w:pPr>
      <w:r>
        <w:rPr>
          <w:rFonts w:ascii="宋体" w:hAnsi="宋体" w:cs="宋体"/>
          <w:szCs w:val="21"/>
        </w:rPr>
        <w:t>1</w:t>
      </w:r>
      <w:r>
        <w:rPr>
          <w:rFonts w:hint="eastAsia" w:ascii="宋体" w:hAnsi="宋体" w:cs="宋体"/>
          <w:szCs w:val="21"/>
        </w:rPr>
        <w:t>5</w:t>
      </w:r>
      <w:r>
        <w:rPr>
          <w:rFonts w:ascii="宋体" w:hAnsi="宋体" w:cs="宋体"/>
          <w:szCs w:val="21"/>
        </w:rPr>
        <w:t>.负责办理项目的规划、施工许可审批及消防审批。</w:t>
      </w:r>
    </w:p>
    <w:p w14:paraId="6D6D749C">
      <w:pPr>
        <w:widowControl/>
        <w:numPr>
          <w:ilvl w:val="0"/>
          <w:numId w:val="21"/>
        </w:numPr>
        <w:shd w:val="clear" w:color="auto" w:fill="FFFFFF"/>
        <w:tabs>
          <w:tab w:val="left" w:pos="426"/>
        </w:tabs>
        <w:spacing w:before="280" w:after="290" w:line="377" w:lineRule="auto"/>
        <w:jc w:val="left"/>
        <w:outlineLvl w:val="2"/>
        <w:rPr>
          <w:b/>
          <w:sz w:val="24"/>
        </w:rPr>
      </w:pPr>
      <w:bookmarkStart w:id="243" w:name="_Toc12170"/>
      <w:bookmarkStart w:id="244" w:name="_Toc151802140"/>
      <w:r>
        <w:rPr>
          <w:rFonts w:hint="eastAsia"/>
          <w:b/>
          <w:sz w:val="24"/>
        </w:rPr>
        <w:t>商务需求</w:t>
      </w:r>
      <w:bookmarkEnd w:id="243"/>
      <w:bookmarkEnd w:id="244"/>
    </w:p>
    <w:p w14:paraId="465E78D3">
      <w:pPr>
        <w:pStyle w:val="30"/>
        <w:spacing w:line="360" w:lineRule="auto"/>
        <w:ind w:firstLine="420" w:firstLineChars="200"/>
        <w:rPr>
          <w:rFonts w:ascii="宋体" w:hAnsi="宋体" w:cs="宋体"/>
          <w:sz w:val="21"/>
          <w:szCs w:val="21"/>
        </w:rPr>
      </w:pPr>
      <w:r>
        <w:rPr>
          <w:rFonts w:hint="eastAsia" w:ascii="宋体" w:hAnsi="宋体" w:cs="宋体"/>
          <w:sz w:val="21"/>
          <w:szCs w:val="21"/>
        </w:rPr>
        <w:t>★1.售后服务：自工程竣工验收完毕之日的第二天计算，免费质保期为1年（不额外收费），防水部分工程质保期为5年，免费质保期内成交人应免费提供保养维修服务（不额外收费），质量保证金在质保期到期后无息支付，质保金为合同价的3%（采用金融机构保函形式）。免费保质期满后，成交人负责有偿维修。成交人24小时开通服务热线，报障4小时内到施工现场。</w:t>
      </w:r>
    </w:p>
    <w:p w14:paraId="03FF6733">
      <w:pPr>
        <w:pStyle w:val="30"/>
        <w:spacing w:line="360" w:lineRule="auto"/>
        <w:ind w:firstLine="420" w:firstLineChars="200"/>
        <w:rPr>
          <w:rFonts w:ascii="宋体" w:hAnsi="宋体" w:cs="宋体"/>
          <w:sz w:val="21"/>
          <w:szCs w:val="21"/>
        </w:rPr>
      </w:pPr>
      <w:r>
        <w:rPr>
          <w:rFonts w:hint="eastAsia" w:ascii="宋体" w:hAnsi="宋体" w:cs="宋体"/>
          <w:sz w:val="21"/>
          <w:szCs w:val="21"/>
        </w:rPr>
        <w:t>★2.施工工期要求：75天（日历日）内。</w:t>
      </w:r>
    </w:p>
    <w:p w14:paraId="5E77BC45">
      <w:pPr>
        <w:pStyle w:val="30"/>
        <w:spacing w:line="360" w:lineRule="auto"/>
        <w:ind w:firstLine="420" w:firstLineChars="200"/>
        <w:rPr>
          <w:rFonts w:ascii="宋体" w:hAnsi="宋体" w:cs="宋体"/>
          <w:sz w:val="21"/>
          <w:szCs w:val="21"/>
        </w:rPr>
      </w:pPr>
      <w:r>
        <w:rPr>
          <w:rFonts w:hint="eastAsia" w:ascii="宋体" w:hAnsi="宋体" w:cs="宋体"/>
          <w:sz w:val="21"/>
          <w:szCs w:val="21"/>
        </w:rPr>
        <w:t>★3.以下内容作为不可竞争费，供应商应在响应报价中单列（计入磋商总价），供应商如擅自修改磋商文件（包括答疑文件、澄清文件、磋商控制价文件等）中规定不可竞争的固定单价或合价的，磋商小组应当将其作为无效响应处理。</w:t>
      </w:r>
    </w:p>
    <w:p w14:paraId="24394A20">
      <w:pPr>
        <w:pStyle w:val="30"/>
        <w:spacing w:line="360" w:lineRule="auto"/>
        <w:ind w:firstLine="422" w:firstLineChars="200"/>
        <w:rPr>
          <w:rFonts w:ascii="宋体" w:hAnsi="宋体" w:cs="宋体"/>
          <w:b/>
          <w:bCs/>
          <w:sz w:val="21"/>
          <w:szCs w:val="21"/>
        </w:rPr>
      </w:pPr>
      <w:r>
        <w:rPr>
          <w:rFonts w:hint="eastAsia" w:ascii="宋体" w:hAnsi="宋体" w:cs="宋体"/>
          <w:b/>
          <w:bCs/>
          <w:sz w:val="21"/>
          <w:szCs w:val="21"/>
        </w:rPr>
        <w:t>①安全文明措施费37769.30元；</w:t>
      </w:r>
    </w:p>
    <w:p w14:paraId="222E8D92">
      <w:pPr>
        <w:pStyle w:val="30"/>
        <w:spacing w:line="360" w:lineRule="auto"/>
        <w:ind w:firstLine="422" w:firstLineChars="200"/>
        <w:rPr>
          <w:rFonts w:ascii="宋体" w:hAnsi="宋体" w:cs="宋体"/>
          <w:b/>
          <w:bCs/>
          <w:sz w:val="21"/>
          <w:szCs w:val="21"/>
        </w:rPr>
      </w:pPr>
      <w:r>
        <w:rPr>
          <w:rFonts w:hint="eastAsia" w:ascii="宋体" w:hAnsi="宋体" w:cs="宋体"/>
          <w:b/>
          <w:bCs/>
          <w:sz w:val="21"/>
          <w:szCs w:val="21"/>
        </w:rPr>
        <w:t>②暂列金80000.00元。</w:t>
      </w:r>
    </w:p>
    <w:p w14:paraId="7F1250E8">
      <w:pPr>
        <w:pStyle w:val="30"/>
        <w:spacing w:line="360" w:lineRule="auto"/>
        <w:ind w:firstLine="420" w:firstLineChars="200"/>
        <w:rPr>
          <w:rFonts w:ascii="宋体" w:hAnsi="宋体" w:cs="宋体"/>
          <w:sz w:val="21"/>
          <w:szCs w:val="21"/>
        </w:rPr>
      </w:pPr>
      <w:r>
        <w:rPr>
          <w:rFonts w:hint="eastAsia" w:ascii="宋体" w:hAnsi="宋体" w:cs="宋体"/>
          <w:sz w:val="21"/>
          <w:szCs w:val="21"/>
        </w:rPr>
        <w:t>最终报价时，上述两项金额不得修改，否则作为响应无效处理。</w:t>
      </w:r>
    </w:p>
    <w:p w14:paraId="4054ECC8">
      <w:pPr>
        <w:spacing w:line="360" w:lineRule="auto"/>
        <w:ind w:left="420" w:leftChars="200"/>
        <w:rPr>
          <w:rFonts w:ascii="宋体" w:hAnsi="宋体" w:cs="宋体"/>
          <w:kern w:val="0"/>
          <w:szCs w:val="21"/>
        </w:rPr>
      </w:pPr>
      <w:r>
        <w:rPr>
          <w:rFonts w:hint="eastAsia" w:ascii="宋体" w:hAnsi="宋体" w:cs="宋体"/>
          <w:szCs w:val="21"/>
        </w:rPr>
        <w:t>★</w:t>
      </w:r>
      <w:r>
        <w:rPr>
          <w:rFonts w:hint="eastAsia" w:ascii="宋体" w:hAnsi="宋体" w:cs="宋体"/>
          <w:bCs/>
          <w:kern w:val="0"/>
          <w:szCs w:val="21"/>
        </w:rPr>
        <w:t>4.付</w:t>
      </w:r>
      <w:r>
        <w:rPr>
          <w:rFonts w:hint="eastAsia" w:ascii="宋体" w:hAnsi="宋体" w:cs="宋体"/>
          <w:kern w:val="0"/>
          <w:szCs w:val="21"/>
        </w:rPr>
        <w:t>款安排：</w:t>
      </w:r>
    </w:p>
    <w:p w14:paraId="00F9AE33">
      <w:pPr>
        <w:pStyle w:val="30"/>
        <w:spacing w:line="360" w:lineRule="auto"/>
        <w:ind w:firstLine="420" w:firstLineChars="200"/>
        <w:rPr>
          <w:rFonts w:ascii="宋体" w:hAnsi="宋体" w:cs="宋体"/>
          <w:sz w:val="21"/>
          <w:szCs w:val="21"/>
        </w:rPr>
      </w:pPr>
      <w:r>
        <w:rPr>
          <w:rFonts w:hint="eastAsia" w:ascii="宋体" w:hAnsi="宋体" w:cs="宋体"/>
          <w:sz w:val="21"/>
          <w:szCs w:val="21"/>
        </w:rPr>
        <w:t>（1）采购人向成交人支付工程预付款的时间：合同生效，采购人确认成交人已到现场进行正常的施工组织安排，且采购人收到成交人同等金额的有效发票后10个工作日内（如遇本年度财政经费额度未到账等情况，则顺延支付）。</w:t>
      </w:r>
    </w:p>
    <w:p w14:paraId="2B91CF5C">
      <w:pPr>
        <w:pStyle w:val="30"/>
        <w:spacing w:line="360" w:lineRule="auto"/>
        <w:ind w:firstLine="420" w:firstLineChars="200"/>
        <w:rPr>
          <w:rFonts w:ascii="宋体" w:hAnsi="宋体" w:cs="宋体"/>
          <w:sz w:val="21"/>
          <w:szCs w:val="21"/>
        </w:rPr>
      </w:pPr>
      <w:r>
        <w:rPr>
          <w:rFonts w:hint="eastAsia" w:ascii="宋体" w:hAnsi="宋体" w:cs="宋体"/>
          <w:sz w:val="21"/>
          <w:szCs w:val="21"/>
        </w:rPr>
        <w:t>采购人向成交人支付工程预付款的金额(小写)：合同总价的30%</w:t>
      </w:r>
    </w:p>
    <w:p w14:paraId="4D0B7915">
      <w:pPr>
        <w:pStyle w:val="30"/>
        <w:spacing w:line="360" w:lineRule="auto"/>
        <w:ind w:firstLine="420" w:firstLineChars="200"/>
        <w:rPr>
          <w:rFonts w:ascii="宋体" w:hAnsi="宋体" w:cs="宋体"/>
          <w:sz w:val="21"/>
          <w:szCs w:val="21"/>
        </w:rPr>
      </w:pPr>
      <w:r>
        <w:rPr>
          <w:rFonts w:hint="eastAsia" w:ascii="宋体" w:hAnsi="宋体" w:cs="宋体"/>
          <w:sz w:val="21"/>
          <w:szCs w:val="21"/>
        </w:rPr>
        <w:t>（2）办理期中结算与支付的时间间隔和要求：按工程形象进度支付进度款，工程完工付至合同价的90%；工程完工验收合格（包括资料检查合格）并完成结算审核，采购人在收到成交人提供的金额为结算审核款3%、有效期为1年的工程质量保函后，将全部工程结算审核款余款支付给成交人（如遇本年度财政经费额度未到账等情况，则顺延支付）。</w:t>
      </w:r>
    </w:p>
    <w:p w14:paraId="160AF5C6">
      <w:pPr>
        <w:spacing w:line="360" w:lineRule="auto"/>
        <w:ind w:firstLine="420" w:firstLineChars="200"/>
        <w:rPr>
          <w:rFonts w:ascii="宋体" w:hAnsi="宋体" w:cs="宋体"/>
          <w:szCs w:val="21"/>
        </w:rPr>
      </w:pPr>
      <w:bookmarkStart w:id="245" w:name="_Toc151802145"/>
      <w:r>
        <w:rPr>
          <w:rFonts w:hint="eastAsia" w:ascii="宋体" w:hAnsi="宋体" w:cs="宋体"/>
          <w:szCs w:val="21"/>
        </w:rPr>
        <w:t>5.交付验收方案</w:t>
      </w:r>
      <w:bookmarkEnd w:id="245"/>
    </w:p>
    <w:p w14:paraId="446503DE">
      <w:pPr>
        <w:spacing w:line="360" w:lineRule="auto"/>
        <w:ind w:firstLine="420" w:firstLineChars="200"/>
        <w:rPr>
          <w:rFonts w:ascii="宋体" w:hAnsi="宋体" w:cs="宋体"/>
          <w:szCs w:val="21"/>
        </w:rPr>
      </w:pPr>
      <w:r>
        <w:rPr>
          <w:rFonts w:hint="eastAsia" w:ascii="宋体" w:hAnsi="宋体" w:cs="宋体"/>
          <w:szCs w:val="21"/>
        </w:rPr>
        <w:t>（1）交付验收主体：采购人</w:t>
      </w:r>
    </w:p>
    <w:p w14:paraId="65214CBD">
      <w:pPr>
        <w:spacing w:line="360" w:lineRule="auto"/>
        <w:ind w:firstLine="420" w:firstLineChars="200"/>
        <w:rPr>
          <w:rFonts w:ascii="宋体" w:hAnsi="宋体" w:cs="宋体"/>
          <w:szCs w:val="21"/>
        </w:rPr>
      </w:pPr>
      <w:r>
        <w:rPr>
          <w:rFonts w:hint="eastAsia" w:ascii="宋体" w:hAnsi="宋体" w:cs="宋体"/>
          <w:szCs w:val="21"/>
        </w:rPr>
        <w:t>（2）交付验收时间：以合同约定条款为准。</w:t>
      </w:r>
    </w:p>
    <w:p w14:paraId="4D454D99">
      <w:pPr>
        <w:spacing w:line="360" w:lineRule="auto"/>
        <w:ind w:firstLine="420" w:firstLineChars="200"/>
        <w:rPr>
          <w:rFonts w:ascii="宋体" w:hAnsi="宋体" w:cs="宋体"/>
          <w:szCs w:val="21"/>
        </w:rPr>
      </w:pPr>
      <w:r>
        <w:rPr>
          <w:rFonts w:hint="eastAsia" w:ascii="宋体" w:hAnsi="宋体" w:cs="宋体"/>
          <w:szCs w:val="21"/>
        </w:rPr>
        <w:t>（3）交付验收方式：按照国家行业管理部门规定的标准、方法和内容，结合项目的招、响应文件、施工图纸、工程量清单以及施工合同等内容进行验收。</w:t>
      </w:r>
    </w:p>
    <w:p w14:paraId="59138483">
      <w:pPr>
        <w:spacing w:line="360" w:lineRule="auto"/>
        <w:ind w:firstLine="420" w:firstLineChars="200"/>
        <w:rPr>
          <w:rFonts w:ascii="宋体" w:hAnsi="宋体" w:cs="宋体"/>
          <w:szCs w:val="21"/>
        </w:rPr>
      </w:pPr>
      <w:r>
        <w:rPr>
          <w:rFonts w:hint="eastAsia" w:ascii="宋体" w:hAnsi="宋体" w:cs="宋体"/>
          <w:szCs w:val="21"/>
        </w:rPr>
        <w:t xml:space="preserve">（4）交付验收程序：工程具备验收条件，成交人应按国家、深圳市工程验收有关规定，在工程竣工验收前14天内，向采购人提交竣工验收申请报告；工程验收合格后15天内，向采购人按相关规定要求提交完整竣工资料（包括竣工图纸，如有）及竣工验收报告和相应的电子文档，其套数除满足存档案需要外还需另提供两套由采购人备用。所有竣工资料的编制费用均由成交人承担。 </w:t>
      </w:r>
    </w:p>
    <w:p w14:paraId="58078E42">
      <w:pPr>
        <w:spacing w:line="360" w:lineRule="auto"/>
        <w:ind w:firstLine="420" w:firstLineChars="200"/>
        <w:rPr>
          <w:rFonts w:ascii="宋体" w:hAnsi="宋体" w:cs="宋体"/>
          <w:szCs w:val="21"/>
        </w:rPr>
      </w:pPr>
      <w:r>
        <w:rPr>
          <w:rFonts w:hint="eastAsia" w:ascii="宋体" w:hAnsi="宋体" w:cs="宋体"/>
          <w:szCs w:val="21"/>
        </w:rPr>
        <w:t>（5）交付验收内容：相关的规程、规范及图纸资料等依据。</w:t>
      </w:r>
    </w:p>
    <w:p w14:paraId="196469B4">
      <w:pPr>
        <w:spacing w:line="360" w:lineRule="auto"/>
        <w:ind w:firstLine="420" w:firstLineChars="200"/>
        <w:rPr>
          <w:rFonts w:ascii="宋体" w:hAnsi="宋体" w:cs="宋体"/>
          <w:szCs w:val="21"/>
        </w:rPr>
      </w:pPr>
      <w:r>
        <w:rPr>
          <w:rFonts w:hint="eastAsia" w:ascii="宋体" w:hAnsi="宋体" w:cs="宋体"/>
          <w:szCs w:val="21"/>
        </w:rPr>
        <w:t>6.知识产权的归属和收益等分配办法：</w:t>
      </w:r>
    </w:p>
    <w:p w14:paraId="184D636E">
      <w:pPr>
        <w:spacing w:line="360" w:lineRule="auto"/>
        <w:ind w:firstLine="420" w:firstLineChars="200"/>
        <w:rPr>
          <w:rFonts w:ascii="宋体" w:hAnsi="宋体" w:cs="宋体"/>
          <w:szCs w:val="21"/>
        </w:rPr>
      </w:pPr>
      <w:r>
        <w:rPr>
          <w:rFonts w:hint="eastAsia" w:ascii="宋体" w:hAnsi="宋体" w:cs="宋体"/>
          <w:kern w:val="0"/>
          <w:szCs w:val="21"/>
        </w:rPr>
        <w:t>本项目不涉及知识产权。</w:t>
      </w:r>
    </w:p>
    <w:p w14:paraId="1EE77D70">
      <w:pPr>
        <w:widowControl/>
        <w:numPr>
          <w:ilvl w:val="0"/>
          <w:numId w:val="21"/>
        </w:numPr>
        <w:shd w:val="clear" w:color="auto" w:fill="FFFFFF"/>
        <w:tabs>
          <w:tab w:val="left" w:pos="426"/>
        </w:tabs>
        <w:spacing w:before="280" w:after="290" w:line="377" w:lineRule="auto"/>
        <w:jc w:val="left"/>
        <w:outlineLvl w:val="2"/>
        <w:rPr>
          <w:b/>
          <w:sz w:val="24"/>
        </w:rPr>
      </w:pPr>
      <w:bookmarkStart w:id="246" w:name="_Toc31442"/>
      <w:r>
        <w:rPr>
          <w:rFonts w:hint="eastAsia"/>
          <w:b/>
          <w:sz w:val="24"/>
        </w:rPr>
        <w:t>定价方式、合同类型和风险管理措施</w:t>
      </w:r>
      <w:bookmarkEnd w:id="246"/>
    </w:p>
    <w:p w14:paraId="40A59649">
      <w:pPr>
        <w:spacing w:line="360" w:lineRule="auto"/>
        <w:ind w:firstLine="420" w:firstLineChars="200"/>
        <w:rPr>
          <w:rFonts w:ascii="宋体" w:hAnsi="宋体" w:cs="宋体"/>
          <w:szCs w:val="21"/>
        </w:rPr>
      </w:pPr>
      <w:bookmarkStart w:id="247" w:name="_Toc151802143"/>
      <w:r>
        <w:rPr>
          <w:rFonts w:hint="eastAsia" w:ascii="宋体" w:hAnsi="宋体" w:cs="宋体"/>
          <w:szCs w:val="21"/>
        </w:rPr>
        <w:t>1.定价方式</w:t>
      </w:r>
      <w:bookmarkEnd w:id="247"/>
    </w:p>
    <w:p w14:paraId="73709712">
      <w:pPr>
        <w:spacing w:line="360" w:lineRule="auto"/>
        <w:ind w:firstLine="420" w:firstLineChars="200"/>
      </w:pPr>
      <w:r>
        <w:rPr>
          <w:rFonts w:hint="eastAsia" w:ascii="宋体" w:hAnsi="宋体" w:cs="宋体"/>
          <w:szCs w:val="21"/>
        </w:rPr>
        <w:t>固定单价。</w:t>
      </w:r>
    </w:p>
    <w:p w14:paraId="353A96F6">
      <w:pPr>
        <w:spacing w:line="360" w:lineRule="auto"/>
        <w:ind w:firstLine="420" w:firstLineChars="200"/>
        <w:rPr>
          <w:rFonts w:ascii="宋体" w:hAnsi="宋体" w:cs="宋体"/>
          <w:szCs w:val="21"/>
        </w:rPr>
      </w:pPr>
      <w:bookmarkStart w:id="248" w:name="_Toc151802142"/>
      <w:r>
        <w:rPr>
          <w:rFonts w:hint="eastAsia" w:ascii="宋体" w:hAnsi="宋体" w:cs="宋体"/>
          <w:szCs w:val="21"/>
        </w:rPr>
        <w:t>2.合同类型</w:t>
      </w:r>
      <w:bookmarkEnd w:id="248"/>
    </w:p>
    <w:p w14:paraId="184CDF8D">
      <w:pPr>
        <w:spacing w:line="360" w:lineRule="auto"/>
        <w:ind w:firstLine="420" w:firstLineChars="200"/>
        <w:rPr>
          <w:rFonts w:ascii="宋体" w:hAnsi="宋体" w:cs="宋体"/>
          <w:szCs w:val="21"/>
        </w:rPr>
      </w:pPr>
      <w:r>
        <w:rPr>
          <w:rFonts w:hint="eastAsia" w:ascii="宋体" w:hAnsi="宋体" w:cs="宋体"/>
          <w:szCs w:val="21"/>
        </w:rPr>
        <w:t>建设工程合同</w:t>
      </w:r>
    </w:p>
    <w:p w14:paraId="03C2E680">
      <w:pPr>
        <w:spacing w:line="360" w:lineRule="auto"/>
        <w:ind w:firstLine="420" w:firstLineChars="200"/>
        <w:rPr>
          <w:rFonts w:ascii="宋体" w:hAnsi="宋体" w:cs="宋体"/>
          <w:szCs w:val="21"/>
        </w:rPr>
      </w:pPr>
      <w:bookmarkStart w:id="249" w:name="_Toc151802146"/>
      <w:r>
        <w:rPr>
          <w:rFonts w:hint="eastAsia" w:ascii="宋体" w:hAnsi="宋体" w:cs="宋体"/>
          <w:szCs w:val="21"/>
        </w:rPr>
        <w:t>3.风险管控措施</w:t>
      </w:r>
      <w:bookmarkEnd w:id="249"/>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5"/>
        <w:gridCol w:w="1185"/>
        <w:gridCol w:w="1185"/>
        <w:gridCol w:w="1185"/>
        <w:gridCol w:w="1185"/>
        <w:gridCol w:w="1185"/>
        <w:gridCol w:w="1186"/>
      </w:tblGrid>
      <w:tr w14:paraId="6BCA0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5" w:type="dxa"/>
            <w:vAlign w:val="center"/>
          </w:tcPr>
          <w:p w14:paraId="46D96091">
            <w:pPr>
              <w:tabs>
                <w:tab w:val="left" w:pos="426"/>
              </w:tabs>
              <w:jc w:val="center"/>
              <w:rPr>
                <w:b/>
                <w:bCs/>
                <w:szCs w:val="21"/>
              </w:rPr>
            </w:pPr>
            <w:r>
              <w:rPr>
                <w:rFonts w:hint="eastAsia"/>
                <w:b/>
                <w:bCs/>
                <w:szCs w:val="21"/>
              </w:rPr>
              <w:t>阶段</w:t>
            </w:r>
          </w:p>
        </w:tc>
        <w:tc>
          <w:tcPr>
            <w:tcW w:w="1185" w:type="dxa"/>
            <w:vAlign w:val="center"/>
          </w:tcPr>
          <w:p w14:paraId="551A2FD5">
            <w:pPr>
              <w:tabs>
                <w:tab w:val="left" w:pos="426"/>
              </w:tabs>
              <w:jc w:val="center"/>
              <w:rPr>
                <w:b/>
                <w:bCs/>
                <w:szCs w:val="21"/>
              </w:rPr>
            </w:pPr>
            <w:r>
              <w:rPr>
                <w:rFonts w:hint="eastAsia"/>
                <w:b/>
                <w:bCs/>
                <w:szCs w:val="21"/>
              </w:rPr>
              <w:t>风险事项</w:t>
            </w:r>
          </w:p>
        </w:tc>
        <w:tc>
          <w:tcPr>
            <w:tcW w:w="1185" w:type="dxa"/>
            <w:vAlign w:val="center"/>
          </w:tcPr>
          <w:p w14:paraId="6B4ED327">
            <w:pPr>
              <w:tabs>
                <w:tab w:val="left" w:pos="426"/>
              </w:tabs>
              <w:jc w:val="center"/>
              <w:rPr>
                <w:b/>
                <w:bCs/>
                <w:szCs w:val="21"/>
              </w:rPr>
            </w:pPr>
            <w:r>
              <w:rPr>
                <w:rFonts w:hint="eastAsia"/>
                <w:b/>
                <w:bCs/>
                <w:szCs w:val="21"/>
              </w:rPr>
              <w:t>风险描述</w:t>
            </w:r>
          </w:p>
        </w:tc>
        <w:tc>
          <w:tcPr>
            <w:tcW w:w="1185" w:type="dxa"/>
            <w:vAlign w:val="center"/>
          </w:tcPr>
          <w:p w14:paraId="00B792DC">
            <w:pPr>
              <w:tabs>
                <w:tab w:val="left" w:pos="426"/>
              </w:tabs>
              <w:jc w:val="center"/>
              <w:rPr>
                <w:b/>
                <w:bCs/>
                <w:szCs w:val="21"/>
              </w:rPr>
            </w:pPr>
            <w:r>
              <w:rPr>
                <w:rFonts w:hint="eastAsia"/>
                <w:b/>
                <w:bCs/>
                <w:szCs w:val="21"/>
              </w:rPr>
              <w:t>风险等级</w:t>
            </w:r>
          </w:p>
        </w:tc>
        <w:tc>
          <w:tcPr>
            <w:tcW w:w="1185" w:type="dxa"/>
            <w:vAlign w:val="center"/>
          </w:tcPr>
          <w:p w14:paraId="2322E5B7">
            <w:pPr>
              <w:tabs>
                <w:tab w:val="left" w:pos="426"/>
              </w:tabs>
              <w:jc w:val="center"/>
              <w:rPr>
                <w:b/>
                <w:bCs/>
                <w:szCs w:val="21"/>
              </w:rPr>
            </w:pPr>
            <w:r>
              <w:rPr>
                <w:rFonts w:hint="eastAsia"/>
                <w:b/>
                <w:bCs/>
                <w:szCs w:val="21"/>
              </w:rPr>
              <w:t>防控措施</w:t>
            </w:r>
          </w:p>
        </w:tc>
        <w:tc>
          <w:tcPr>
            <w:tcW w:w="1185" w:type="dxa"/>
            <w:vAlign w:val="center"/>
          </w:tcPr>
          <w:p w14:paraId="43E69EF9">
            <w:pPr>
              <w:tabs>
                <w:tab w:val="left" w:pos="426"/>
              </w:tabs>
              <w:jc w:val="center"/>
              <w:rPr>
                <w:b/>
                <w:bCs/>
                <w:szCs w:val="21"/>
              </w:rPr>
            </w:pPr>
            <w:r>
              <w:rPr>
                <w:rFonts w:hint="eastAsia"/>
                <w:b/>
                <w:bCs/>
                <w:szCs w:val="21"/>
              </w:rPr>
              <w:t>责任人</w:t>
            </w:r>
          </w:p>
        </w:tc>
        <w:tc>
          <w:tcPr>
            <w:tcW w:w="1186" w:type="dxa"/>
            <w:vAlign w:val="center"/>
          </w:tcPr>
          <w:p w14:paraId="7DE62186">
            <w:pPr>
              <w:tabs>
                <w:tab w:val="left" w:pos="426"/>
              </w:tabs>
              <w:jc w:val="center"/>
              <w:rPr>
                <w:b/>
                <w:bCs/>
                <w:szCs w:val="21"/>
              </w:rPr>
            </w:pPr>
            <w:r>
              <w:rPr>
                <w:rFonts w:hint="eastAsia"/>
                <w:b/>
                <w:bCs/>
                <w:szCs w:val="21"/>
              </w:rPr>
              <w:t>采购环节</w:t>
            </w:r>
          </w:p>
        </w:tc>
      </w:tr>
      <w:tr w14:paraId="1804F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5" w:type="dxa"/>
            <w:vAlign w:val="center"/>
          </w:tcPr>
          <w:p w14:paraId="0B22FA5C">
            <w:pPr>
              <w:tabs>
                <w:tab w:val="left" w:pos="1330"/>
              </w:tabs>
              <w:jc w:val="center"/>
              <w:rPr>
                <w:szCs w:val="21"/>
              </w:rPr>
            </w:pPr>
            <w:r>
              <w:rPr>
                <w:rFonts w:hint="eastAsia"/>
                <w:szCs w:val="21"/>
              </w:rPr>
              <w:t>采购阶段</w:t>
            </w:r>
          </w:p>
        </w:tc>
        <w:tc>
          <w:tcPr>
            <w:tcW w:w="1185" w:type="dxa"/>
            <w:vAlign w:val="center"/>
          </w:tcPr>
          <w:p w14:paraId="7BC00878">
            <w:pPr>
              <w:tabs>
                <w:tab w:val="left" w:pos="1330"/>
              </w:tabs>
              <w:jc w:val="center"/>
              <w:rPr>
                <w:szCs w:val="21"/>
              </w:rPr>
            </w:pPr>
            <w:r>
              <w:rPr>
                <w:rFonts w:hint="eastAsia"/>
                <w:szCs w:val="21"/>
              </w:rPr>
              <w:t>需求编制</w:t>
            </w:r>
          </w:p>
        </w:tc>
        <w:tc>
          <w:tcPr>
            <w:tcW w:w="1185" w:type="dxa"/>
            <w:vAlign w:val="center"/>
          </w:tcPr>
          <w:p w14:paraId="3D2A1AE0">
            <w:pPr>
              <w:tabs>
                <w:tab w:val="left" w:pos="1330"/>
              </w:tabs>
              <w:jc w:val="center"/>
              <w:rPr>
                <w:szCs w:val="21"/>
              </w:rPr>
            </w:pPr>
            <w:r>
              <w:rPr>
                <w:rFonts w:hint="eastAsia"/>
                <w:szCs w:val="21"/>
              </w:rPr>
              <w:t>需求编制与实际不符</w:t>
            </w:r>
          </w:p>
        </w:tc>
        <w:tc>
          <w:tcPr>
            <w:tcW w:w="1185" w:type="dxa"/>
            <w:vAlign w:val="center"/>
          </w:tcPr>
          <w:p w14:paraId="6F1B7627">
            <w:pPr>
              <w:tabs>
                <w:tab w:val="left" w:pos="1330"/>
              </w:tabs>
              <w:jc w:val="center"/>
              <w:rPr>
                <w:szCs w:val="21"/>
              </w:rPr>
            </w:pPr>
            <w:r>
              <w:rPr>
                <w:rFonts w:hint="eastAsia"/>
                <w:szCs w:val="21"/>
              </w:rPr>
              <w:t>低</w:t>
            </w:r>
          </w:p>
        </w:tc>
        <w:tc>
          <w:tcPr>
            <w:tcW w:w="1185" w:type="dxa"/>
            <w:vAlign w:val="center"/>
          </w:tcPr>
          <w:p w14:paraId="12E6100F">
            <w:pPr>
              <w:tabs>
                <w:tab w:val="left" w:pos="1330"/>
              </w:tabs>
              <w:jc w:val="center"/>
              <w:rPr>
                <w:szCs w:val="21"/>
              </w:rPr>
            </w:pPr>
            <w:r>
              <w:rPr>
                <w:rFonts w:hint="eastAsia"/>
                <w:szCs w:val="21"/>
              </w:rPr>
              <w:t>仔细与需求部门确认需求表填写是否与实际需求一致</w:t>
            </w:r>
          </w:p>
        </w:tc>
        <w:tc>
          <w:tcPr>
            <w:tcW w:w="1185" w:type="dxa"/>
            <w:vAlign w:val="center"/>
          </w:tcPr>
          <w:p w14:paraId="5FD6DF88">
            <w:pPr>
              <w:tabs>
                <w:tab w:val="left" w:pos="1330"/>
              </w:tabs>
              <w:jc w:val="center"/>
              <w:rPr>
                <w:szCs w:val="21"/>
              </w:rPr>
            </w:pPr>
            <w:r>
              <w:rPr>
                <w:rFonts w:hint="eastAsia"/>
                <w:szCs w:val="21"/>
              </w:rPr>
              <w:t>采购人</w:t>
            </w:r>
          </w:p>
        </w:tc>
        <w:tc>
          <w:tcPr>
            <w:tcW w:w="1186" w:type="dxa"/>
            <w:vAlign w:val="center"/>
          </w:tcPr>
          <w:p w14:paraId="4D4DDE2D">
            <w:pPr>
              <w:tabs>
                <w:tab w:val="left" w:pos="1330"/>
              </w:tabs>
              <w:jc w:val="center"/>
              <w:rPr>
                <w:szCs w:val="21"/>
              </w:rPr>
            </w:pPr>
            <w:r>
              <w:rPr>
                <w:rFonts w:hint="eastAsia"/>
                <w:szCs w:val="21"/>
              </w:rPr>
              <w:t>采购环节</w:t>
            </w:r>
          </w:p>
        </w:tc>
      </w:tr>
      <w:tr w14:paraId="01B7ED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5" w:type="dxa"/>
            <w:vAlign w:val="center"/>
          </w:tcPr>
          <w:p w14:paraId="1469A776">
            <w:pPr>
              <w:tabs>
                <w:tab w:val="left" w:pos="1330"/>
              </w:tabs>
              <w:jc w:val="center"/>
              <w:rPr>
                <w:szCs w:val="21"/>
              </w:rPr>
            </w:pPr>
            <w:r>
              <w:rPr>
                <w:rFonts w:hint="eastAsia"/>
                <w:szCs w:val="21"/>
              </w:rPr>
              <w:t>采购阶段</w:t>
            </w:r>
          </w:p>
        </w:tc>
        <w:tc>
          <w:tcPr>
            <w:tcW w:w="1185" w:type="dxa"/>
            <w:vAlign w:val="center"/>
          </w:tcPr>
          <w:p w14:paraId="0CC6986C">
            <w:pPr>
              <w:tabs>
                <w:tab w:val="left" w:pos="1330"/>
              </w:tabs>
              <w:jc w:val="center"/>
              <w:rPr>
                <w:szCs w:val="21"/>
              </w:rPr>
            </w:pPr>
            <w:r>
              <w:rPr>
                <w:rFonts w:hint="eastAsia"/>
                <w:szCs w:val="21"/>
              </w:rPr>
              <w:t>采购活动</w:t>
            </w:r>
          </w:p>
        </w:tc>
        <w:tc>
          <w:tcPr>
            <w:tcW w:w="1185" w:type="dxa"/>
            <w:vAlign w:val="center"/>
          </w:tcPr>
          <w:p w14:paraId="07C006A6">
            <w:pPr>
              <w:tabs>
                <w:tab w:val="left" w:pos="1330"/>
              </w:tabs>
              <w:jc w:val="center"/>
              <w:rPr>
                <w:szCs w:val="21"/>
              </w:rPr>
            </w:pPr>
            <w:r>
              <w:rPr>
                <w:rFonts w:hint="eastAsia"/>
                <w:szCs w:val="21"/>
              </w:rPr>
              <w:t>标书的填写符合性及与需求的符合性</w:t>
            </w:r>
          </w:p>
        </w:tc>
        <w:tc>
          <w:tcPr>
            <w:tcW w:w="1185" w:type="dxa"/>
            <w:vAlign w:val="center"/>
          </w:tcPr>
          <w:p w14:paraId="03523487">
            <w:pPr>
              <w:tabs>
                <w:tab w:val="left" w:pos="1330"/>
              </w:tabs>
              <w:jc w:val="center"/>
              <w:rPr>
                <w:szCs w:val="21"/>
              </w:rPr>
            </w:pPr>
            <w:r>
              <w:rPr>
                <w:rFonts w:hint="eastAsia"/>
                <w:szCs w:val="21"/>
              </w:rPr>
              <w:t>中</w:t>
            </w:r>
          </w:p>
        </w:tc>
        <w:tc>
          <w:tcPr>
            <w:tcW w:w="1185" w:type="dxa"/>
            <w:vAlign w:val="center"/>
          </w:tcPr>
          <w:p w14:paraId="4FA17AC7">
            <w:pPr>
              <w:tabs>
                <w:tab w:val="left" w:pos="1330"/>
              </w:tabs>
              <w:jc w:val="center"/>
              <w:rPr>
                <w:szCs w:val="21"/>
              </w:rPr>
            </w:pPr>
            <w:r>
              <w:rPr>
                <w:rFonts w:hint="eastAsia"/>
                <w:szCs w:val="21"/>
              </w:rPr>
              <w:t>仔细与采购人员确认填写是否与实际需求一致</w:t>
            </w:r>
          </w:p>
        </w:tc>
        <w:tc>
          <w:tcPr>
            <w:tcW w:w="1185" w:type="dxa"/>
            <w:vAlign w:val="center"/>
          </w:tcPr>
          <w:p w14:paraId="4E3F1945">
            <w:pPr>
              <w:tabs>
                <w:tab w:val="left" w:pos="1330"/>
              </w:tabs>
              <w:jc w:val="center"/>
              <w:rPr>
                <w:szCs w:val="21"/>
              </w:rPr>
            </w:pPr>
            <w:r>
              <w:rPr>
                <w:rFonts w:hint="eastAsia"/>
                <w:szCs w:val="21"/>
              </w:rPr>
              <w:t>代理机构</w:t>
            </w:r>
          </w:p>
        </w:tc>
        <w:tc>
          <w:tcPr>
            <w:tcW w:w="1186" w:type="dxa"/>
            <w:vAlign w:val="center"/>
          </w:tcPr>
          <w:p w14:paraId="15F2C50A">
            <w:pPr>
              <w:tabs>
                <w:tab w:val="left" w:pos="1330"/>
              </w:tabs>
              <w:jc w:val="center"/>
              <w:rPr>
                <w:szCs w:val="21"/>
              </w:rPr>
            </w:pPr>
            <w:r>
              <w:rPr>
                <w:rFonts w:hint="eastAsia"/>
                <w:szCs w:val="21"/>
              </w:rPr>
              <w:t>采购环节</w:t>
            </w:r>
          </w:p>
        </w:tc>
      </w:tr>
      <w:tr w14:paraId="6563B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5" w:type="dxa"/>
            <w:vAlign w:val="center"/>
          </w:tcPr>
          <w:p w14:paraId="7C91CB32">
            <w:pPr>
              <w:tabs>
                <w:tab w:val="left" w:pos="1330"/>
              </w:tabs>
              <w:jc w:val="center"/>
              <w:rPr>
                <w:szCs w:val="21"/>
              </w:rPr>
            </w:pPr>
            <w:r>
              <w:rPr>
                <w:rFonts w:hint="eastAsia"/>
                <w:szCs w:val="21"/>
              </w:rPr>
              <w:t>合同履约阶段</w:t>
            </w:r>
          </w:p>
        </w:tc>
        <w:tc>
          <w:tcPr>
            <w:tcW w:w="1185" w:type="dxa"/>
            <w:vAlign w:val="center"/>
          </w:tcPr>
          <w:p w14:paraId="306A03A5">
            <w:pPr>
              <w:tabs>
                <w:tab w:val="left" w:pos="1330"/>
              </w:tabs>
              <w:jc w:val="center"/>
              <w:rPr>
                <w:szCs w:val="21"/>
              </w:rPr>
            </w:pPr>
            <w:r>
              <w:rPr>
                <w:rFonts w:hint="eastAsia"/>
                <w:szCs w:val="21"/>
              </w:rPr>
              <w:t>合同履约</w:t>
            </w:r>
          </w:p>
        </w:tc>
        <w:tc>
          <w:tcPr>
            <w:tcW w:w="1185" w:type="dxa"/>
            <w:vAlign w:val="center"/>
          </w:tcPr>
          <w:p w14:paraId="3F84AEA4">
            <w:pPr>
              <w:tabs>
                <w:tab w:val="left" w:pos="1330"/>
              </w:tabs>
              <w:jc w:val="center"/>
              <w:rPr>
                <w:szCs w:val="21"/>
              </w:rPr>
            </w:pPr>
            <w:r>
              <w:rPr>
                <w:rFonts w:hint="eastAsia"/>
                <w:szCs w:val="21"/>
              </w:rPr>
              <w:t>供应商不能按照合同准时履约</w:t>
            </w:r>
          </w:p>
        </w:tc>
        <w:tc>
          <w:tcPr>
            <w:tcW w:w="1185" w:type="dxa"/>
            <w:vAlign w:val="center"/>
          </w:tcPr>
          <w:p w14:paraId="1256009C">
            <w:pPr>
              <w:tabs>
                <w:tab w:val="left" w:pos="1330"/>
              </w:tabs>
              <w:jc w:val="center"/>
              <w:rPr>
                <w:szCs w:val="21"/>
              </w:rPr>
            </w:pPr>
            <w:r>
              <w:rPr>
                <w:rFonts w:hint="eastAsia"/>
                <w:szCs w:val="21"/>
              </w:rPr>
              <w:t>中</w:t>
            </w:r>
          </w:p>
        </w:tc>
        <w:tc>
          <w:tcPr>
            <w:tcW w:w="1185" w:type="dxa"/>
            <w:vAlign w:val="center"/>
          </w:tcPr>
          <w:p w14:paraId="4EAE57AD">
            <w:pPr>
              <w:tabs>
                <w:tab w:val="left" w:pos="1330"/>
              </w:tabs>
              <w:jc w:val="center"/>
              <w:rPr>
                <w:szCs w:val="21"/>
              </w:rPr>
            </w:pPr>
            <w:r>
              <w:rPr>
                <w:rFonts w:hint="eastAsia"/>
                <w:szCs w:val="21"/>
              </w:rPr>
              <w:t>在合同中详细写明无法按时履约应该承担的法律责任</w:t>
            </w:r>
          </w:p>
        </w:tc>
        <w:tc>
          <w:tcPr>
            <w:tcW w:w="1185" w:type="dxa"/>
            <w:vAlign w:val="center"/>
          </w:tcPr>
          <w:p w14:paraId="0D3F13EF">
            <w:pPr>
              <w:tabs>
                <w:tab w:val="left" w:pos="1330"/>
              </w:tabs>
              <w:jc w:val="center"/>
              <w:rPr>
                <w:szCs w:val="21"/>
              </w:rPr>
            </w:pPr>
            <w:r>
              <w:rPr>
                <w:rFonts w:hint="eastAsia"/>
                <w:szCs w:val="21"/>
              </w:rPr>
              <w:t>供应商</w:t>
            </w:r>
          </w:p>
        </w:tc>
        <w:tc>
          <w:tcPr>
            <w:tcW w:w="1186" w:type="dxa"/>
            <w:vAlign w:val="center"/>
          </w:tcPr>
          <w:p w14:paraId="71CE8D06">
            <w:pPr>
              <w:tabs>
                <w:tab w:val="left" w:pos="1330"/>
              </w:tabs>
              <w:jc w:val="center"/>
              <w:rPr>
                <w:szCs w:val="21"/>
              </w:rPr>
            </w:pPr>
            <w:r>
              <w:rPr>
                <w:rFonts w:hint="eastAsia"/>
                <w:szCs w:val="21"/>
              </w:rPr>
              <w:t>合同履约环节</w:t>
            </w:r>
          </w:p>
        </w:tc>
      </w:tr>
    </w:tbl>
    <w:p w14:paraId="01C340FF">
      <w:pPr>
        <w:widowControl/>
        <w:jc w:val="left"/>
        <w:rPr>
          <w:rStyle w:val="95"/>
          <w:rFonts w:ascii="宋体" w:hAnsi="宋体" w:cs="宋体"/>
          <w:sz w:val="28"/>
          <w:szCs w:val="28"/>
        </w:rPr>
      </w:pPr>
      <w:r>
        <w:br w:type="page"/>
      </w:r>
    </w:p>
    <w:p w14:paraId="75091C57">
      <w:pPr>
        <w:jc w:val="center"/>
        <w:outlineLvl w:val="0"/>
        <w:rPr>
          <w:rStyle w:val="95"/>
          <w:rFonts w:ascii="宋体" w:hAnsi="宋体" w:cs="宋体"/>
          <w:sz w:val="28"/>
          <w:szCs w:val="28"/>
        </w:rPr>
      </w:pPr>
      <w:bookmarkStart w:id="250" w:name="_Toc23646"/>
      <w:r>
        <w:rPr>
          <w:rStyle w:val="95"/>
          <w:rFonts w:hint="eastAsia" w:ascii="宋体" w:hAnsi="宋体" w:cs="宋体"/>
          <w:sz w:val="28"/>
          <w:szCs w:val="28"/>
        </w:rPr>
        <w:t>第五章</w:t>
      </w:r>
      <w:r>
        <w:rPr>
          <w:rStyle w:val="95"/>
          <w:rFonts w:ascii="宋体" w:hAnsi="宋体" w:cs="宋体"/>
          <w:sz w:val="28"/>
          <w:szCs w:val="28"/>
        </w:rPr>
        <w:t xml:space="preserve"> </w:t>
      </w:r>
      <w:r>
        <w:rPr>
          <w:rStyle w:val="95"/>
          <w:rFonts w:hint="eastAsia" w:ascii="宋体" w:hAnsi="宋体" w:cs="宋体"/>
          <w:sz w:val="28"/>
          <w:szCs w:val="28"/>
        </w:rPr>
        <w:t>合同条款及格式</w:t>
      </w:r>
      <w:bookmarkEnd w:id="250"/>
    </w:p>
    <w:p w14:paraId="2CCCE749">
      <w:pPr>
        <w:jc w:val="center"/>
        <w:rPr>
          <w:rFonts w:ascii="宋体" w:hAnsi="宋体" w:cs="宋体"/>
          <w:szCs w:val="21"/>
        </w:rPr>
      </w:pPr>
    </w:p>
    <w:p w14:paraId="55AC6D59">
      <w:pPr>
        <w:jc w:val="right"/>
        <w:rPr>
          <w:rFonts w:ascii="宋体" w:hAnsi="宋体" w:cs="宋体"/>
          <w:kern w:val="0"/>
          <w:sz w:val="28"/>
          <w:szCs w:val="28"/>
        </w:rPr>
      </w:pPr>
      <w:r>
        <w:rPr>
          <w:rFonts w:hint="eastAsia" w:ascii="宋体" w:hAnsi="宋体" w:cs="宋体"/>
          <w:kern w:val="0"/>
          <w:sz w:val="28"/>
          <w:szCs w:val="28"/>
        </w:rPr>
        <w:t>工程编号：_____________</w:t>
      </w:r>
    </w:p>
    <w:p w14:paraId="043D97C1">
      <w:pPr>
        <w:widowControl/>
        <w:jc w:val="right"/>
        <w:rPr>
          <w:rFonts w:ascii="宋体" w:hAnsi="宋体" w:cs="宋体"/>
          <w:kern w:val="0"/>
          <w:sz w:val="28"/>
          <w:szCs w:val="28"/>
        </w:rPr>
      </w:pPr>
      <w:r>
        <w:rPr>
          <w:rFonts w:hint="eastAsia" w:ascii="宋体" w:hAnsi="宋体" w:cs="宋体"/>
          <w:kern w:val="0"/>
          <w:sz w:val="28"/>
          <w:szCs w:val="28"/>
        </w:rPr>
        <w:t>合同编号：_____________</w:t>
      </w:r>
    </w:p>
    <w:p w14:paraId="4ADEC601">
      <w:pPr>
        <w:widowControl/>
        <w:jc w:val="right"/>
        <w:rPr>
          <w:rFonts w:ascii="宋体" w:hAnsi="宋体" w:cs="宋体"/>
          <w:kern w:val="0"/>
          <w:sz w:val="32"/>
          <w:szCs w:val="32"/>
          <w:u w:val="single"/>
        </w:rPr>
      </w:pPr>
    </w:p>
    <w:p w14:paraId="151DD4F5">
      <w:pPr>
        <w:widowControl/>
        <w:jc w:val="right"/>
        <w:rPr>
          <w:rFonts w:ascii="宋体" w:hAnsi="宋体" w:cs="宋体"/>
          <w:kern w:val="0"/>
          <w:sz w:val="32"/>
          <w:szCs w:val="32"/>
          <w:u w:val="single"/>
        </w:rPr>
      </w:pPr>
    </w:p>
    <w:p w14:paraId="2C114A2E">
      <w:pPr>
        <w:widowControl/>
        <w:jc w:val="center"/>
        <w:rPr>
          <w:rFonts w:ascii="宋体" w:hAnsi="宋体" w:cs="宋体"/>
          <w:kern w:val="0"/>
          <w:sz w:val="44"/>
          <w:szCs w:val="44"/>
        </w:rPr>
      </w:pPr>
      <w:r>
        <w:rPr>
          <w:rFonts w:hint="eastAsia" w:ascii="宋体" w:hAnsi="宋体" w:cs="宋体"/>
          <w:kern w:val="0"/>
          <w:sz w:val="44"/>
          <w:szCs w:val="44"/>
        </w:rPr>
        <w:t>深圳市建设工程</w:t>
      </w:r>
    </w:p>
    <w:p w14:paraId="6DC8A059">
      <w:pPr>
        <w:widowControl/>
        <w:jc w:val="center"/>
        <w:rPr>
          <w:rFonts w:ascii="宋体" w:hAnsi="宋体" w:cs="宋体"/>
          <w:kern w:val="0"/>
          <w:sz w:val="24"/>
          <w:szCs w:val="21"/>
        </w:rPr>
      </w:pPr>
    </w:p>
    <w:p w14:paraId="6FE23894">
      <w:pPr>
        <w:widowControl/>
        <w:jc w:val="center"/>
        <w:rPr>
          <w:rFonts w:ascii="宋体" w:hAnsi="宋体" w:cs="宋体"/>
          <w:kern w:val="0"/>
          <w:sz w:val="52"/>
          <w:szCs w:val="52"/>
        </w:rPr>
      </w:pPr>
      <w:r>
        <w:rPr>
          <w:rFonts w:hint="eastAsia" w:ascii="宋体" w:hAnsi="宋体" w:cs="宋体"/>
          <w:kern w:val="0"/>
          <w:sz w:val="52"/>
          <w:szCs w:val="52"/>
        </w:rPr>
        <w:t>施工(单价)合同</w:t>
      </w:r>
    </w:p>
    <w:p w14:paraId="65B56481">
      <w:pPr>
        <w:widowControl/>
        <w:jc w:val="center"/>
        <w:rPr>
          <w:rFonts w:ascii="宋体" w:hAnsi="宋体" w:cs="宋体"/>
          <w:kern w:val="0"/>
          <w:sz w:val="32"/>
          <w:szCs w:val="32"/>
        </w:rPr>
      </w:pPr>
      <w:r>
        <w:rPr>
          <w:rFonts w:hint="eastAsia" w:ascii="宋体" w:hAnsi="宋体" w:cs="宋体"/>
          <w:kern w:val="0"/>
          <w:sz w:val="32"/>
          <w:szCs w:val="32"/>
        </w:rPr>
        <w:t>(适用于招标工程固定单价施工合同)</w:t>
      </w:r>
    </w:p>
    <w:p w14:paraId="4D67AE16">
      <w:pPr>
        <w:widowControl/>
        <w:jc w:val="center"/>
        <w:rPr>
          <w:rFonts w:ascii="宋体" w:hAnsi="宋体" w:cs="宋体"/>
          <w:kern w:val="0"/>
          <w:sz w:val="32"/>
          <w:szCs w:val="32"/>
        </w:rPr>
      </w:pPr>
    </w:p>
    <w:p w14:paraId="4D62921A">
      <w:pPr>
        <w:widowControl/>
        <w:jc w:val="center"/>
        <w:rPr>
          <w:rFonts w:ascii="宋体" w:hAnsi="宋体" w:cs="宋体"/>
          <w:kern w:val="0"/>
          <w:sz w:val="32"/>
          <w:szCs w:val="32"/>
        </w:rPr>
      </w:pPr>
    </w:p>
    <w:p w14:paraId="0119087D">
      <w:pPr>
        <w:widowControl/>
        <w:jc w:val="center"/>
        <w:rPr>
          <w:rFonts w:ascii="宋体" w:hAnsi="宋体" w:cs="宋体"/>
          <w:kern w:val="0"/>
          <w:sz w:val="32"/>
          <w:szCs w:val="32"/>
        </w:rPr>
      </w:pPr>
    </w:p>
    <w:p w14:paraId="4273B91A">
      <w:pPr>
        <w:widowControl/>
        <w:jc w:val="center"/>
        <w:rPr>
          <w:rFonts w:ascii="宋体" w:hAnsi="宋体" w:cs="宋体"/>
          <w:kern w:val="0"/>
          <w:sz w:val="32"/>
          <w:szCs w:val="32"/>
        </w:rPr>
      </w:pPr>
    </w:p>
    <w:p w14:paraId="1F669710">
      <w:pPr>
        <w:widowControl/>
        <w:jc w:val="center"/>
        <w:rPr>
          <w:rFonts w:ascii="宋体" w:hAnsi="宋体" w:cs="宋体"/>
          <w:kern w:val="0"/>
          <w:sz w:val="32"/>
          <w:szCs w:val="32"/>
        </w:rPr>
      </w:pPr>
    </w:p>
    <w:p w14:paraId="23EEEEA4">
      <w:pPr>
        <w:widowControl/>
        <w:jc w:val="left"/>
        <w:rPr>
          <w:rFonts w:ascii="宋体" w:hAnsi="宋体" w:cs="宋体"/>
          <w:kern w:val="0"/>
          <w:sz w:val="32"/>
          <w:szCs w:val="32"/>
        </w:rPr>
      </w:pPr>
    </w:p>
    <w:p w14:paraId="099974C8">
      <w:pPr>
        <w:widowControl/>
        <w:spacing w:before="312" w:after="156" w:line="480" w:lineRule="auto"/>
        <w:ind w:firstLine="320"/>
        <w:jc w:val="left"/>
        <w:rPr>
          <w:rFonts w:ascii="宋体" w:hAnsi="宋体" w:cs="宋体"/>
          <w:kern w:val="0"/>
          <w:sz w:val="32"/>
          <w:szCs w:val="32"/>
          <w:u w:val="single"/>
        </w:rPr>
      </w:pPr>
      <w:r>
        <w:rPr>
          <w:rFonts w:hint="eastAsia" w:ascii="宋体" w:hAnsi="宋体" w:cs="宋体"/>
          <w:kern w:val="0"/>
          <w:sz w:val="32"/>
          <w:szCs w:val="32"/>
        </w:rPr>
        <w:t>工程名称：</w:t>
      </w:r>
      <w:r>
        <w:rPr>
          <w:rFonts w:hint="eastAsia" w:ascii="宋体" w:hAnsi="宋体" w:cs="宋体"/>
          <w:kern w:val="0"/>
          <w:sz w:val="32"/>
          <w:szCs w:val="32"/>
          <w:u w:val="single"/>
        </w:rPr>
        <w:t xml:space="preserve">                     </w:t>
      </w:r>
    </w:p>
    <w:p w14:paraId="664FE6D9">
      <w:pPr>
        <w:widowControl/>
        <w:spacing w:before="312" w:after="156" w:line="480" w:lineRule="auto"/>
        <w:ind w:firstLine="320"/>
        <w:jc w:val="left"/>
        <w:rPr>
          <w:rFonts w:ascii="宋体" w:hAnsi="宋体" w:cs="宋体"/>
          <w:kern w:val="0"/>
          <w:sz w:val="32"/>
          <w:szCs w:val="32"/>
        </w:rPr>
      </w:pPr>
      <w:r>
        <w:rPr>
          <w:rFonts w:hint="eastAsia" w:ascii="宋体" w:hAnsi="宋体" w:cs="宋体"/>
          <w:kern w:val="0"/>
          <w:sz w:val="32"/>
          <w:szCs w:val="32"/>
        </w:rPr>
        <w:t>工程地点：</w:t>
      </w:r>
      <w:r>
        <w:rPr>
          <w:rFonts w:hint="eastAsia" w:ascii="宋体" w:hAnsi="宋体" w:cs="宋体"/>
          <w:kern w:val="0"/>
          <w:sz w:val="32"/>
          <w:szCs w:val="32"/>
          <w:u w:val="single"/>
        </w:rPr>
        <w:t xml:space="preserve">                     </w:t>
      </w:r>
    </w:p>
    <w:p w14:paraId="5A2BCF68">
      <w:pPr>
        <w:widowControl/>
        <w:spacing w:before="312" w:after="156" w:line="480" w:lineRule="auto"/>
        <w:ind w:firstLine="320"/>
        <w:jc w:val="left"/>
        <w:rPr>
          <w:rFonts w:ascii="宋体" w:hAnsi="宋体" w:cs="宋体"/>
          <w:kern w:val="0"/>
          <w:sz w:val="32"/>
          <w:szCs w:val="32"/>
        </w:rPr>
      </w:pPr>
      <w:r>
        <w:rPr>
          <w:rFonts w:hint="eastAsia" w:ascii="宋体" w:hAnsi="宋体" w:cs="宋体"/>
          <w:kern w:val="0"/>
          <w:sz w:val="32"/>
          <w:szCs w:val="32"/>
        </w:rPr>
        <w:t>发 包 人：</w:t>
      </w:r>
      <w:r>
        <w:rPr>
          <w:rFonts w:hint="eastAsia" w:ascii="宋体" w:hAnsi="宋体" w:cs="宋体"/>
          <w:kern w:val="0"/>
          <w:sz w:val="32"/>
          <w:szCs w:val="32"/>
          <w:u w:val="single"/>
        </w:rPr>
        <w:t>中华人民共和国皇岗海关</w:t>
      </w:r>
    </w:p>
    <w:p w14:paraId="27186D6A">
      <w:pPr>
        <w:widowControl/>
        <w:spacing w:before="312" w:after="156" w:line="480" w:lineRule="auto"/>
        <w:ind w:firstLine="320"/>
        <w:jc w:val="left"/>
        <w:rPr>
          <w:rFonts w:ascii="宋体" w:hAnsi="宋体" w:cs="宋体"/>
          <w:kern w:val="0"/>
          <w:sz w:val="32"/>
          <w:szCs w:val="32"/>
          <w:u w:val="single"/>
        </w:rPr>
      </w:pPr>
      <w:r>
        <w:rPr>
          <w:rFonts w:hint="eastAsia" w:ascii="宋体" w:hAnsi="宋体" w:cs="宋体"/>
          <w:kern w:val="0"/>
          <w:sz w:val="32"/>
          <w:szCs w:val="32"/>
        </w:rPr>
        <w:t>承 包 人：</w:t>
      </w:r>
      <w:r>
        <w:rPr>
          <w:rFonts w:hint="eastAsia" w:ascii="宋体" w:hAnsi="宋体" w:cs="宋体"/>
          <w:kern w:val="0"/>
          <w:sz w:val="32"/>
          <w:szCs w:val="32"/>
          <w:u w:val="single"/>
        </w:rPr>
        <w:t xml:space="preserve">                     </w:t>
      </w:r>
    </w:p>
    <w:p w14:paraId="5F3FBBAB">
      <w:pPr>
        <w:widowControl/>
        <w:spacing w:before="312" w:after="156" w:line="480" w:lineRule="auto"/>
        <w:jc w:val="left"/>
        <w:rPr>
          <w:rFonts w:ascii="宋体" w:hAnsi="宋体" w:cs="宋体"/>
          <w:kern w:val="0"/>
          <w:sz w:val="32"/>
          <w:szCs w:val="32"/>
          <w:u w:val="single"/>
        </w:rPr>
      </w:pPr>
    </w:p>
    <w:p w14:paraId="3211305A">
      <w:pPr>
        <w:widowControl/>
        <w:ind w:firstLine="960"/>
        <w:jc w:val="left"/>
        <w:rPr>
          <w:rFonts w:ascii="宋体" w:hAnsi="宋体" w:cs="宋体"/>
          <w:kern w:val="0"/>
          <w:sz w:val="32"/>
          <w:szCs w:val="32"/>
          <w:u w:val="single"/>
        </w:rPr>
      </w:pPr>
    </w:p>
    <w:p w14:paraId="7042C073">
      <w:pPr>
        <w:widowControl/>
        <w:ind w:firstLine="960"/>
        <w:jc w:val="left"/>
        <w:rPr>
          <w:rFonts w:ascii="宋体" w:hAnsi="宋体" w:cs="宋体"/>
          <w:kern w:val="0"/>
          <w:sz w:val="32"/>
          <w:szCs w:val="32"/>
          <w:u w:val="single"/>
        </w:rPr>
      </w:pPr>
    </w:p>
    <w:p w14:paraId="2FDC6E7B">
      <w:pPr>
        <w:widowControl/>
        <w:ind w:firstLine="960"/>
        <w:jc w:val="left"/>
        <w:rPr>
          <w:rFonts w:ascii="宋体" w:hAnsi="宋体" w:cs="宋体"/>
          <w:kern w:val="0"/>
          <w:sz w:val="32"/>
          <w:szCs w:val="32"/>
          <w:u w:val="single"/>
        </w:rPr>
      </w:pPr>
    </w:p>
    <w:p w14:paraId="731B5A78">
      <w:pPr>
        <w:widowControl/>
        <w:ind w:firstLine="960"/>
        <w:jc w:val="left"/>
        <w:rPr>
          <w:rFonts w:ascii="宋体" w:hAnsi="宋体" w:cs="宋体"/>
          <w:kern w:val="0"/>
          <w:sz w:val="32"/>
          <w:szCs w:val="32"/>
          <w:u w:val="single"/>
        </w:rPr>
      </w:pPr>
    </w:p>
    <w:p w14:paraId="18A23C87">
      <w:pPr>
        <w:widowControl/>
        <w:jc w:val="center"/>
        <w:rPr>
          <w:rFonts w:ascii="宋体" w:hAnsi="宋体" w:cs="宋体"/>
          <w:bCs/>
          <w:kern w:val="0"/>
          <w:sz w:val="44"/>
        </w:rPr>
      </w:pPr>
      <w:r>
        <w:rPr>
          <w:rFonts w:hint="eastAsia" w:ascii="宋体" w:hAnsi="宋体" w:cs="宋体"/>
          <w:b/>
          <w:bCs/>
          <w:kern w:val="0"/>
          <w:sz w:val="44"/>
        </w:rPr>
        <w:br w:type="page"/>
      </w:r>
    </w:p>
    <w:p w14:paraId="0BA586D5">
      <w:pPr>
        <w:widowControl/>
        <w:spacing w:line="360" w:lineRule="auto"/>
        <w:jc w:val="center"/>
        <w:rPr>
          <w:rFonts w:ascii="宋体" w:hAnsi="宋体" w:cs="宋体"/>
          <w:bCs/>
          <w:kern w:val="0"/>
          <w:sz w:val="32"/>
          <w:szCs w:val="32"/>
        </w:rPr>
      </w:pPr>
      <w:r>
        <w:rPr>
          <w:rFonts w:hint="eastAsia" w:ascii="宋体" w:hAnsi="宋体" w:cs="宋体"/>
          <w:b/>
          <w:bCs/>
          <w:kern w:val="0"/>
          <w:sz w:val="32"/>
          <w:szCs w:val="32"/>
        </w:rPr>
        <w:t>说明</w:t>
      </w:r>
    </w:p>
    <w:p w14:paraId="55294BE5">
      <w:pPr>
        <w:widowControl/>
        <w:spacing w:line="360" w:lineRule="auto"/>
        <w:ind w:firstLine="480"/>
        <w:jc w:val="left"/>
        <w:rPr>
          <w:rFonts w:ascii="宋体" w:hAnsi="宋体" w:cs="宋体"/>
          <w:kern w:val="0"/>
          <w:szCs w:val="21"/>
        </w:rPr>
      </w:pPr>
    </w:p>
    <w:p w14:paraId="0F63A061">
      <w:pPr>
        <w:widowControl/>
        <w:spacing w:line="360" w:lineRule="auto"/>
        <w:ind w:firstLine="480"/>
        <w:jc w:val="left"/>
        <w:rPr>
          <w:rFonts w:ascii="宋体" w:hAnsi="宋体" w:cs="宋体"/>
          <w:kern w:val="0"/>
          <w:szCs w:val="21"/>
        </w:rPr>
      </w:pPr>
      <w:r>
        <w:rPr>
          <w:rFonts w:hint="eastAsia" w:ascii="宋体" w:hAnsi="宋体" w:cs="宋体"/>
          <w:kern w:val="0"/>
          <w:szCs w:val="21"/>
        </w:rPr>
        <w:t>本合同(示范文本)根据《中华人民共和国民法典》、《中华人民共和国建筑法》、《中华人民共和国招标投标法》等法律以及深圳市相关的法规,借鉴国际通用的工程施工合同和住房城乡建设部、国家工商行政管理总局制定的《建设工程施工合同示范文本》（GF－2013-0201）,结合深圳市现行施工合同(示范文本)近几年的实践情况,由深圳市建设工程造价管理站编制而成。</w:t>
      </w:r>
    </w:p>
    <w:p w14:paraId="1F7C9607">
      <w:pPr>
        <w:widowControl/>
        <w:spacing w:line="360" w:lineRule="auto"/>
        <w:ind w:firstLine="480"/>
        <w:jc w:val="left"/>
        <w:rPr>
          <w:rFonts w:ascii="宋体" w:hAnsi="宋体" w:cs="宋体"/>
          <w:bCs/>
          <w:kern w:val="0"/>
          <w:szCs w:val="21"/>
        </w:rPr>
      </w:pPr>
      <w:r>
        <w:rPr>
          <w:rFonts w:hint="eastAsia" w:ascii="宋体" w:hAnsi="宋体" w:cs="宋体"/>
          <w:bCs/>
          <w:kern w:val="0"/>
          <w:szCs w:val="21"/>
        </w:rPr>
        <w:t>一、《示范文本》的组成</w:t>
      </w:r>
    </w:p>
    <w:p w14:paraId="7323F663">
      <w:pPr>
        <w:widowControl/>
        <w:spacing w:line="360" w:lineRule="auto"/>
        <w:ind w:firstLine="480"/>
        <w:jc w:val="left"/>
        <w:rPr>
          <w:rFonts w:ascii="宋体" w:hAnsi="宋体" w:cs="宋体"/>
          <w:kern w:val="0"/>
          <w:szCs w:val="21"/>
        </w:rPr>
      </w:pPr>
      <w:r>
        <w:rPr>
          <w:rFonts w:hint="eastAsia" w:ascii="宋体" w:hAnsi="宋体" w:cs="宋体"/>
          <w:kern w:val="0"/>
          <w:szCs w:val="21"/>
        </w:rPr>
        <w:t>本合同(示范文本)由“协议书”、“合同条款”两部分组成。本版合同删除原版“通用条款”，如涉及争议则以本合同条款约定为准，其中：</w:t>
      </w:r>
    </w:p>
    <w:p w14:paraId="298BFAB5">
      <w:pPr>
        <w:widowControl/>
        <w:spacing w:line="360" w:lineRule="auto"/>
        <w:ind w:firstLine="480"/>
        <w:jc w:val="left"/>
        <w:rPr>
          <w:rFonts w:ascii="宋体" w:hAnsi="宋体" w:cs="宋体"/>
          <w:kern w:val="0"/>
          <w:szCs w:val="21"/>
        </w:rPr>
      </w:pPr>
      <w:r>
        <w:rPr>
          <w:rFonts w:hint="eastAsia" w:ascii="宋体" w:hAnsi="宋体" w:cs="宋体"/>
          <w:kern w:val="0"/>
          <w:szCs w:val="21"/>
        </w:rPr>
        <w:t>1.“协议书”作为合同文本的第一部分,是发包人与承包人就合同内容协商达成一致意见后,相互承诺履行合同而签署的协议。《协议书》包括工程概况、工程承包范围、合同工期、质量标准、合同价格等合同主要内容,明确了组成合同的所有文件，并约定了合同生效的方式及合同订立的时间、地点，集中约定了承发包双方基本的合同权利义务。</w:t>
      </w:r>
    </w:p>
    <w:p w14:paraId="5AC6848C">
      <w:pPr>
        <w:widowControl/>
        <w:spacing w:line="360" w:lineRule="auto"/>
        <w:ind w:firstLine="480"/>
        <w:jc w:val="left"/>
        <w:rPr>
          <w:rFonts w:ascii="宋体" w:hAnsi="宋体" w:cs="宋体"/>
          <w:kern w:val="0"/>
          <w:szCs w:val="21"/>
        </w:rPr>
      </w:pPr>
      <w:r>
        <w:rPr>
          <w:rFonts w:hint="eastAsia" w:ascii="宋体" w:hAnsi="宋体" w:cs="宋体"/>
          <w:kern w:val="0"/>
          <w:szCs w:val="21"/>
        </w:rPr>
        <w:t>2.“合同条款”是指对通用条款原则性约定的细化、完善、补充、修改或另行约定的条款。发包人与承包人可根据法律、法规和规章的规定，结合具体工程实际，经过双方的谈判、协商达成一致意见，对应通用条款的内容，对不明确的条款作出具体约定；对不适用的条款作出修改；对缺少的内容作出补充；使合同更具可操作性，便于理解和履行。</w:t>
      </w:r>
    </w:p>
    <w:p w14:paraId="22B2255F">
      <w:pPr>
        <w:widowControl/>
        <w:spacing w:line="360" w:lineRule="auto"/>
        <w:ind w:firstLine="480"/>
        <w:jc w:val="left"/>
        <w:rPr>
          <w:rFonts w:ascii="宋体" w:hAnsi="宋体" w:cs="宋体"/>
          <w:kern w:val="0"/>
          <w:szCs w:val="21"/>
        </w:rPr>
      </w:pPr>
    </w:p>
    <w:p w14:paraId="657E0F57">
      <w:pPr>
        <w:widowControl/>
        <w:spacing w:line="360" w:lineRule="auto"/>
        <w:jc w:val="left"/>
        <w:rPr>
          <w:rFonts w:ascii="宋体" w:hAnsi="宋体" w:cs="宋体"/>
          <w:kern w:val="0"/>
          <w:szCs w:val="21"/>
        </w:rPr>
      </w:pPr>
      <w:r>
        <w:rPr>
          <w:rFonts w:hint="eastAsia" w:ascii="宋体" w:hAnsi="宋体" w:cs="宋体"/>
          <w:kern w:val="0"/>
          <w:szCs w:val="21"/>
        </w:rPr>
        <w:br w:type="page"/>
      </w:r>
    </w:p>
    <w:p w14:paraId="18C03F25">
      <w:pPr>
        <w:widowControl/>
        <w:spacing w:line="360" w:lineRule="auto"/>
        <w:jc w:val="center"/>
        <w:outlineLvl w:val="1"/>
        <w:rPr>
          <w:rFonts w:ascii="宋体" w:hAnsi="宋体" w:cs="宋体"/>
          <w:b/>
          <w:bCs/>
          <w:kern w:val="0"/>
          <w:sz w:val="32"/>
          <w:szCs w:val="32"/>
        </w:rPr>
      </w:pPr>
      <w:bookmarkStart w:id="251" w:name="_Toc12093"/>
      <w:r>
        <w:rPr>
          <w:rFonts w:hint="eastAsia" w:ascii="宋体" w:hAnsi="宋体" w:cs="宋体"/>
          <w:b/>
          <w:bCs/>
          <w:kern w:val="0"/>
          <w:sz w:val="32"/>
          <w:szCs w:val="32"/>
        </w:rPr>
        <w:t>第一部分  协议书</w:t>
      </w:r>
      <w:bookmarkEnd w:id="251"/>
    </w:p>
    <w:p w14:paraId="4BB784F9">
      <w:pPr>
        <w:widowControl/>
        <w:spacing w:line="360" w:lineRule="auto"/>
        <w:ind w:firstLine="519"/>
        <w:jc w:val="left"/>
        <w:rPr>
          <w:rFonts w:ascii="宋体" w:hAnsi="宋体" w:cs="宋体"/>
          <w:bCs/>
          <w:kern w:val="0"/>
          <w:szCs w:val="21"/>
        </w:rPr>
      </w:pPr>
      <w:r>
        <w:rPr>
          <w:rFonts w:hint="eastAsia" w:ascii="宋体" w:hAnsi="宋体" w:cs="宋体"/>
          <w:b/>
          <w:bCs/>
          <w:kern w:val="0"/>
          <w:szCs w:val="21"/>
        </w:rPr>
        <w:t>发包人</w:t>
      </w:r>
      <w:r>
        <w:rPr>
          <w:rFonts w:hint="eastAsia" w:ascii="宋体" w:hAnsi="宋体" w:cs="宋体"/>
          <w:bCs/>
          <w:kern w:val="0"/>
          <w:szCs w:val="21"/>
        </w:rPr>
        <w:t>(全称)：</w:t>
      </w:r>
      <w:r>
        <w:rPr>
          <w:rFonts w:hint="eastAsia" w:ascii="宋体" w:hAnsi="宋体" w:cs="宋体"/>
          <w:kern w:val="0"/>
          <w:szCs w:val="21"/>
          <w:u w:val="single"/>
        </w:rPr>
        <w:t>中华人民共和国皇岗海关</w:t>
      </w:r>
    </w:p>
    <w:p w14:paraId="7995462E">
      <w:pPr>
        <w:widowControl/>
        <w:spacing w:line="360" w:lineRule="auto"/>
        <w:ind w:firstLine="519"/>
        <w:jc w:val="left"/>
        <w:rPr>
          <w:rFonts w:ascii="宋体" w:hAnsi="宋体" w:cs="宋体"/>
          <w:bCs/>
          <w:kern w:val="0"/>
          <w:szCs w:val="21"/>
        </w:rPr>
      </w:pPr>
      <w:r>
        <w:rPr>
          <w:rFonts w:hint="eastAsia" w:ascii="宋体" w:hAnsi="宋体" w:cs="宋体"/>
          <w:b/>
          <w:bCs/>
          <w:kern w:val="0"/>
          <w:szCs w:val="21"/>
        </w:rPr>
        <w:t>承包人</w:t>
      </w:r>
      <w:r>
        <w:rPr>
          <w:rFonts w:hint="eastAsia" w:ascii="宋体" w:hAnsi="宋体" w:cs="宋体"/>
          <w:bCs/>
          <w:kern w:val="0"/>
          <w:szCs w:val="21"/>
        </w:rPr>
        <w:t>(全称)</w:t>
      </w:r>
      <w:r>
        <w:rPr>
          <w:rFonts w:hint="eastAsia" w:ascii="宋体" w:hAnsi="宋体" w:cs="宋体"/>
          <w:b/>
          <w:bCs/>
          <w:kern w:val="0"/>
          <w:szCs w:val="21"/>
        </w:rPr>
        <w:t>：</w:t>
      </w:r>
    </w:p>
    <w:p w14:paraId="6345B76F">
      <w:pPr>
        <w:widowControl/>
        <w:spacing w:line="360" w:lineRule="auto"/>
        <w:ind w:firstLine="480"/>
        <w:jc w:val="left"/>
        <w:rPr>
          <w:rFonts w:ascii="宋体" w:hAnsi="宋体" w:cs="宋体"/>
          <w:kern w:val="0"/>
          <w:szCs w:val="21"/>
        </w:rPr>
      </w:pPr>
      <w:r>
        <w:rPr>
          <w:rFonts w:hint="eastAsia" w:ascii="宋体" w:hAnsi="宋体" w:cs="宋体"/>
          <w:kern w:val="0"/>
          <w:szCs w:val="21"/>
        </w:rPr>
        <w:t>根据《中华人民共和国民法典》、《中华人民共和国建筑法（2011修正）》、《深圳经济特区建设工程施工招标投标条例（2004修正）》及其他有关法律、法规，遵循平等、自愿、公平和诚实信用的原则，发包人和承包人就本工程施工事项协商一致，订立本合同，达成协议如下：</w:t>
      </w:r>
    </w:p>
    <w:p w14:paraId="7CF5C610">
      <w:pPr>
        <w:widowControl/>
        <w:spacing w:line="360" w:lineRule="auto"/>
        <w:jc w:val="left"/>
        <w:rPr>
          <w:rFonts w:ascii="宋体" w:hAnsi="宋体" w:cs="宋体"/>
          <w:kern w:val="0"/>
          <w:szCs w:val="21"/>
        </w:rPr>
      </w:pPr>
      <w:r>
        <w:rPr>
          <w:rFonts w:hint="eastAsia" w:ascii="宋体" w:hAnsi="宋体" w:cs="宋体"/>
          <w:b/>
          <w:kern w:val="0"/>
          <w:szCs w:val="21"/>
        </w:rPr>
        <w:t>一、工程概况</w:t>
      </w:r>
    </w:p>
    <w:p w14:paraId="19EC65A3">
      <w:pPr>
        <w:widowControl/>
        <w:spacing w:line="360" w:lineRule="auto"/>
        <w:ind w:firstLine="480"/>
        <w:jc w:val="left"/>
        <w:rPr>
          <w:rFonts w:ascii="宋体" w:hAnsi="宋体" w:cs="宋体"/>
          <w:kern w:val="0"/>
          <w:szCs w:val="21"/>
        </w:rPr>
      </w:pPr>
      <w:r>
        <w:rPr>
          <w:rFonts w:hint="eastAsia" w:ascii="宋体" w:hAnsi="宋体" w:cs="宋体"/>
          <w:kern w:val="0"/>
          <w:szCs w:val="21"/>
        </w:rPr>
        <w:t xml:space="preserve">工程名称：皇岗海关29栋、31栋、33栋、34栋公有住房修缮项目 </w:t>
      </w:r>
    </w:p>
    <w:p w14:paraId="4B1171C4">
      <w:pPr>
        <w:widowControl/>
        <w:spacing w:line="360" w:lineRule="auto"/>
        <w:ind w:firstLine="480"/>
        <w:jc w:val="left"/>
        <w:rPr>
          <w:rFonts w:ascii="宋体" w:hAnsi="宋体" w:cs="宋体"/>
          <w:kern w:val="0"/>
          <w:szCs w:val="21"/>
          <w:u w:val="single"/>
        </w:rPr>
      </w:pPr>
      <w:r>
        <w:rPr>
          <w:rFonts w:hint="eastAsia" w:ascii="宋体" w:hAnsi="宋体" w:cs="宋体"/>
          <w:kern w:val="0"/>
          <w:szCs w:val="21"/>
        </w:rPr>
        <w:t>工程地点：皇岗海关生活区</w:t>
      </w:r>
    </w:p>
    <w:p w14:paraId="16E94BBD">
      <w:pPr>
        <w:widowControl/>
        <w:spacing w:line="360" w:lineRule="auto"/>
        <w:ind w:firstLine="480"/>
        <w:jc w:val="left"/>
        <w:rPr>
          <w:rFonts w:ascii="宋体" w:hAnsi="宋体" w:cs="宋体"/>
          <w:kern w:val="0"/>
          <w:szCs w:val="21"/>
          <w:u w:val="single"/>
        </w:rPr>
      </w:pPr>
      <w:r>
        <w:rPr>
          <w:rFonts w:hint="eastAsia" w:ascii="宋体" w:hAnsi="宋体" w:cs="宋体"/>
          <w:kern w:val="0"/>
          <w:szCs w:val="21"/>
        </w:rPr>
        <w:t>核准（备案）证编号：</w:t>
      </w:r>
      <w:r>
        <w:rPr>
          <w:rFonts w:hint="eastAsia" w:ascii="宋体" w:hAnsi="宋体" w:cs="宋体"/>
          <w:kern w:val="0"/>
          <w:szCs w:val="21"/>
          <w:u w:val="single"/>
        </w:rPr>
        <w:t>/</w:t>
      </w:r>
    </w:p>
    <w:p w14:paraId="0466C51B">
      <w:pPr>
        <w:widowControl/>
        <w:spacing w:line="360" w:lineRule="auto"/>
        <w:ind w:firstLine="480"/>
        <w:jc w:val="left"/>
        <w:rPr>
          <w:rFonts w:ascii="宋体" w:hAnsi="宋体" w:cs="宋体"/>
          <w:kern w:val="0"/>
          <w:szCs w:val="21"/>
          <w:u w:val="single"/>
        </w:rPr>
      </w:pPr>
      <w:r>
        <w:rPr>
          <w:rFonts w:hint="eastAsia" w:ascii="宋体" w:hAnsi="宋体" w:cs="宋体"/>
          <w:kern w:val="0"/>
          <w:szCs w:val="21"/>
        </w:rPr>
        <w:t>工程规模及特征：</w:t>
      </w:r>
      <w:r>
        <w:rPr>
          <w:rFonts w:hint="eastAsia" w:ascii="宋体" w:hAnsi="宋体" w:cs="宋体"/>
          <w:kern w:val="0"/>
          <w:szCs w:val="21"/>
          <w:u w:val="single"/>
        </w:rPr>
        <w:t xml:space="preserve">    室内装修装饰                            </w:t>
      </w:r>
    </w:p>
    <w:p w14:paraId="472CF807">
      <w:pPr>
        <w:widowControl/>
        <w:spacing w:line="360" w:lineRule="auto"/>
        <w:ind w:firstLine="480"/>
        <w:jc w:val="left"/>
        <w:rPr>
          <w:rFonts w:ascii="宋体" w:hAnsi="宋体" w:cs="宋体"/>
          <w:kern w:val="0"/>
          <w:szCs w:val="21"/>
        </w:rPr>
      </w:pPr>
      <w:r>
        <w:rPr>
          <w:rFonts w:hint="eastAsia" w:ascii="宋体" w:hAnsi="宋体" w:cs="宋体"/>
          <w:kern w:val="0"/>
          <w:szCs w:val="21"/>
        </w:rPr>
        <w:t>资金来源：财政投入</w:t>
      </w:r>
      <w:r>
        <w:rPr>
          <w:rFonts w:hint="eastAsia" w:ascii="宋体" w:hAnsi="宋体" w:cs="宋体"/>
          <w:kern w:val="0"/>
          <w:szCs w:val="21"/>
          <w:u w:val="single"/>
        </w:rPr>
        <w:t>100</w:t>
      </w:r>
      <w:r>
        <w:rPr>
          <w:rFonts w:hint="eastAsia" w:ascii="宋体" w:hAnsi="宋体" w:cs="宋体"/>
          <w:kern w:val="0"/>
          <w:szCs w:val="21"/>
        </w:rPr>
        <w:t>%；国有资本</w:t>
      </w:r>
      <w:r>
        <w:rPr>
          <w:rFonts w:hint="eastAsia" w:ascii="宋体" w:hAnsi="宋体" w:cs="宋体"/>
          <w:kern w:val="0"/>
          <w:szCs w:val="21"/>
          <w:u w:val="single"/>
        </w:rPr>
        <w:t>/</w:t>
      </w:r>
      <w:r>
        <w:rPr>
          <w:rFonts w:hint="eastAsia" w:ascii="宋体" w:hAnsi="宋体" w:cs="宋体"/>
          <w:kern w:val="0"/>
          <w:szCs w:val="21"/>
        </w:rPr>
        <w:t>%；集体资本</w:t>
      </w:r>
      <w:r>
        <w:rPr>
          <w:rFonts w:hint="eastAsia" w:ascii="宋体" w:hAnsi="宋体" w:cs="宋体"/>
          <w:kern w:val="0"/>
          <w:szCs w:val="21"/>
          <w:u w:val="single"/>
        </w:rPr>
        <w:t>/</w:t>
      </w:r>
      <w:r>
        <w:rPr>
          <w:rFonts w:hint="eastAsia" w:ascii="宋体" w:hAnsi="宋体" w:cs="宋体"/>
          <w:kern w:val="0"/>
          <w:szCs w:val="21"/>
        </w:rPr>
        <w:t>%；民营资本</w:t>
      </w:r>
      <w:r>
        <w:rPr>
          <w:rFonts w:hint="eastAsia" w:ascii="宋体" w:hAnsi="宋体" w:cs="宋体"/>
          <w:kern w:val="0"/>
          <w:szCs w:val="21"/>
          <w:u w:val="single"/>
        </w:rPr>
        <w:t>/</w:t>
      </w:r>
      <w:r>
        <w:rPr>
          <w:rFonts w:hint="eastAsia" w:ascii="宋体" w:hAnsi="宋体" w:cs="宋体"/>
          <w:kern w:val="0"/>
          <w:szCs w:val="21"/>
        </w:rPr>
        <w:t>%；外商投资</w:t>
      </w:r>
      <w:r>
        <w:rPr>
          <w:rFonts w:hint="eastAsia" w:ascii="宋体" w:hAnsi="宋体" w:cs="宋体"/>
          <w:kern w:val="0"/>
          <w:szCs w:val="21"/>
          <w:u w:val="single"/>
        </w:rPr>
        <w:t>/</w:t>
      </w:r>
      <w:r>
        <w:rPr>
          <w:rFonts w:hint="eastAsia" w:ascii="宋体" w:hAnsi="宋体" w:cs="宋体"/>
          <w:kern w:val="0"/>
          <w:szCs w:val="21"/>
        </w:rPr>
        <w:t>%；混合经济</w:t>
      </w:r>
      <w:r>
        <w:rPr>
          <w:rFonts w:hint="eastAsia" w:ascii="宋体" w:hAnsi="宋体" w:cs="宋体"/>
          <w:kern w:val="0"/>
          <w:szCs w:val="21"/>
          <w:u w:val="single"/>
        </w:rPr>
        <w:t>/</w:t>
      </w:r>
      <w:r>
        <w:rPr>
          <w:rFonts w:hint="eastAsia" w:ascii="宋体" w:hAnsi="宋体" w:cs="宋体"/>
          <w:kern w:val="0"/>
          <w:szCs w:val="21"/>
        </w:rPr>
        <w:t>%； 其他</w:t>
      </w:r>
      <w:r>
        <w:rPr>
          <w:rFonts w:hint="eastAsia" w:ascii="宋体" w:hAnsi="宋体" w:cs="宋体"/>
          <w:kern w:val="0"/>
          <w:szCs w:val="21"/>
          <w:u w:val="single"/>
        </w:rPr>
        <w:t>/</w:t>
      </w:r>
      <w:r>
        <w:rPr>
          <w:rFonts w:hint="eastAsia" w:ascii="宋体" w:hAnsi="宋体" w:cs="宋体"/>
          <w:kern w:val="0"/>
          <w:szCs w:val="21"/>
        </w:rPr>
        <w:t>%。</w:t>
      </w:r>
    </w:p>
    <w:p w14:paraId="709CD481">
      <w:pPr>
        <w:widowControl/>
        <w:spacing w:line="360" w:lineRule="auto"/>
        <w:jc w:val="left"/>
        <w:rPr>
          <w:rFonts w:ascii="宋体" w:hAnsi="宋体" w:cs="宋体"/>
          <w:kern w:val="0"/>
          <w:szCs w:val="21"/>
        </w:rPr>
      </w:pPr>
      <w:r>
        <w:rPr>
          <w:rFonts w:hint="eastAsia" w:ascii="宋体" w:hAnsi="宋体" w:cs="宋体"/>
          <w:b/>
          <w:kern w:val="0"/>
          <w:szCs w:val="21"/>
        </w:rPr>
        <w:t>二、工程承包范围</w:t>
      </w:r>
    </w:p>
    <w:p w14:paraId="4D970613">
      <w:pPr>
        <w:widowControl/>
        <w:spacing w:line="360" w:lineRule="auto"/>
        <w:ind w:firstLine="480"/>
        <w:jc w:val="left"/>
        <w:rPr>
          <w:rFonts w:ascii="宋体" w:hAnsi="宋体" w:cs="宋体"/>
          <w:kern w:val="0"/>
          <w:szCs w:val="21"/>
          <w:u w:val="single"/>
        </w:rPr>
      </w:pPr>
      <w:r>
        <w:rPr>
          <w:rFonts w:hint="eastAsia" w:ascii="宋体" w:hAnsi="宋体" w:cs="宋体"/>
          <w:kern w:val="0"/>
          <w:szCs w:val="21"/>
        </w:rPr>
        <w:t>工程内容主要包括：</w:t>
      </w:r>
    </w:p>
    <w:p w14:paraId="6CA59CA7">
      <w:pPr>
        <w:widowControl/>
        <w:spacing w:line="360" w:lineRule="auto"/>
        <w:jc w:val="left"/>
        <w:rPr>
          <w:rFonts w:ascii="宋体" w:hAnsi="宋体" w:cs="宋体"/>
          <w:kern w:val="0"/>
          <w:szCs w:val="21"/>
        </w:rPr>
      </w:pPr>
      <w:r>
        <w:rPr>
          <w:rFonts w:hint="eastAsia" w:ascii="宋体" w:hAnsi="宋体" w:cs="宋体"/>
          <w:b/>
          <w:kern w:val="0"/>
          <w:szCs w:val="21"/>
        </w:rPr>
        <w:t>1.市政公用及配套专业工程、其他工程：</w:t>
      </w:r>
      <w:r>
        <w:rPr>
          <w:rFonts w:hint="eastAsia" w:ascii="宋体" w:hAnsi="宋体" w:cs="宋体"/>
          <w:kern w:val="0"/>
          <w:szCs w:val="21"/>
        </w:rPr>
        <w:t>(在□内打√，并填写相应的工程量)</w:t>
      </w:r>
    </w:p>
    <w:tbl>
      <w:tblPr>
        <w:tblStyle w:val="5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0"/>
        <w:gridCol w:w="4566"/>
      </w:tblGrid>
      <w:tr w14:paraId="5E424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0" w:type="pct"/>
            <w:shd w:val="clear" w:color="auto" w:fill="auto"/>
            <w:vAlign w:val="center"/>
          </w:tcPr>
          <w:p w14:paraId="003FA54C">
            <w:pPr>
              <w:widowControl/>
              <w:spacing w:line="360" w:lineRule="auto"/>
              <w:jc w:val="left"/>
              <w:rPr>
                <w:rFonts w:ascii="宋体" w:hAnsi="宋体" w:cs="宋体"/>
                <w:bCs/>
                <w:kern w:val="0"/>
                <w:szCs w:val="21"/>
              </w:rPr>
            </w:pPr>
            <w:r>
              <w:rPr>
                <w:rFonts w:hint="eastAsia" w:ascii="宋体" w:hAnsi="宋体" w:cs="宋体"/>
                <w:bCs/>
                <w:kern w:val="0"/>
                <w:szCs w:val="21"/>
              </w:rPr>
              <w:t>□ 七通一平工程             万平方米</w:t>
            </w:r>
          </w:p>
        </w:tc>
        <w:tc>
          <w:tcPr>
            <w:tcW w:w="2340" w:type="pct"/>
            <w:shd w:val="clear" w:color="auto" w:fill="auto"/>
            <w:vAlign w:val="center"/>
          </w:tcPr>
          <w:p w14:paraId="35BD0C4B">
            <w:pPr>
              <w:widowControl/>
              <w:tabs>
                <w:tab w:val="left" w:pos="600"/>
              </w:tabs>
              <w:spacing w:line="360" w:lineRule="auto"/>
              <w:jc w:val="left"/>
              <w:rPr>
                <w:rFonts w:ascii="宋体" w:hAnsi="宋体" w:cs="宋体"/>
                <w:bCs/>
                <w:kern w:val="0"/>
                <w:szCs w:val="21"/>
              </w:rPr>
            </w:pPr>
            <w:r>
              <w:rPr>
                <w:rFonts w:hint="eastAsia" w:ascii="宋体" w:hAnsi="宋体" w:cs="宋体"/>
                <w:bCs/>
                <w:kern w:val="0"/>
                <w:szCs w:val="21"/>
              </w:rPr>
              <w:t>□电信管道工程          米</w:t>
            </w:r>
          </w:p>
        </w:tc>
      </w:tr>
      <w:tr w14:paraId="26476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0" w:type="pct"/>
            <w:shd w:val="clear" w:color="auto" w:fill="auto"/>
            <w:vAlign w:val="center"/>
          </w:tcPr>
          <w:p w14:paraId="5E54C0E4">
            <w:pPr>
              <w:widowControl/>
              <w:spacing w:line="360" w:lineRule="auto"/>
              <w:jc w:val="left"/>
              <w:rPr>
                <w:rFonts w:ascii="宋体" w:hAnsi="宋体" w:cs="宋体"/>
                <w:kern w:val="0"/>
                <w:szCs w:val="21"/>
              </w:rPr>
            </w:pPr>
            <w:r>
              <w:rPr>
                <w:rFonts w:hint="eastAsia" w:ascii="宋体" w:hAnsi="宋体" w:cs="宋体"/>
                <w:bCs/>
                <w:kern w:val="0"/>
                <w:szCs w:val="21"/>
              </w:rPr>
              <w:t>□挡墙护坡工程 长： 米； 宽： 米；高： 米</w:t>
            </w:r>
          </w:p>
        </w:tc>
        <w:tc>
          <w:tcPr>
            <w:tcW w:w="2340" w:type="pct"/>
            <w:shd w:val="clear" w:color="auto" w:fill="auto"/>
            <w:vAlign w:val="center"/>
          </w:tcPr>
          <w:p w14:paraId="2F129EDD">
            <w:pPr>
              <w:widowControl/>
              <w:tabs>
                <w:tab w:val="left" w:pos="600"/>
              </w:tabs>
              <w:spacing w:line="360" w:lineRule="auto"/>
              <w:jc w:val="left"/>
              <w:rPr>
                <w:rFonts w:ascii="宋体" w:hAnsi="宋体" w:cs="宋体"/>
                <w:bCs/>
                <w:kern w:val="0"/>
                <w:szCs w:val="21"/>
              </w:rPr>
            </w:pPr>
            <w:r>
              <w:rPr>
                <w:rFonts w:hint="eastAsia" w:ascii="宋体" w:hAnsi="宋体" w:cs="宋体"/>
                <w:bCs/>
                <w:kern w:val="0"/>
                <w:szCs w:val="21"/>
              </w:rPr>
              <w:t>□电力管道工程          米</w:t>
            </w:r>
          </w:p>
        </w:tc>
      </w:tr>
      <w:tr w14:paraId="5D568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0" w:type="pct"/>
            <w:shd w:val="clear" w:color="auto" w:fill="auto"/>
            <w:vAlign w:val="center"/>
          </w:tcPr>
          <w:p w14:paraId="38E3CEC9">
            <w:pPr>
              <w:widowControl/>
              <w:spacing w:line="360" w:lineRule="auto"/>
              <w:jc w:val="left"/>
              <w:rPr>
                <w:rFonts w:ascii="宋体" w:hAnsi="宋体" w:cs="宋体"/>
                <w:kern w:val="0"/>
                <w:szCs w:val="21"/>
              </w:rPr>
            </w:pPr>
            <w:r>
              <w:rPr>
                <w:rFonts w:hint="eastAsia" w:ascii="宋体" w:hAnsi="宋体" w:cs="宋体"/>
                <w:bCs/>
                <w:kern w:val="0"/>
                <w:szCs w:val="21"/>
              </w:rPr>
              <w:t>□ 软基处理工程            万平方米</w:t>
            </w:r>
          </w:p>
        </w:tc>
        <w:tc>
          <w:tcPr>
            <w:tcW w:w="2340" w:type="pct"/>
            <w:shd w:val="clear" w:color="auto" w:fill="auto"/>
            <w:vAlign w:val="center"/>
          </w:tcPr>
          <w:p w14:paraId="42A68224">
            <w:pPr>
              <w:widowControl/>
              <w:tabs>
                <w:tab w:val="left" w:pos="600"/>
              </w:tabs>
              <w:spacing w:line="360" w:lineRule="auto"/>
              <w:jc w:val="left"/>
              <w:rPr>
                <w:rFonts w:ascii="宋体" w:hAnsi="宋体" w:cs="宋体"/>
                <w:bCs/>
                <w:kern w:val="0"/>
                <w:szCs w:val="21"/>
              </w:rPr>
            </w:pPr>
            <w:r>
              <w:rPr>
                <w:rFonts w:hint="eastAsia" w:ascii="宋体" w:hAnsi="宋体" w:cs="宋体"/>
                <w:bCs/>
                <w:kern w:val="0"/>
                <w:szCs w:val="21"/>
              </w:rPr>
              <w:t>□污水处理厂及配套工程     立方米/d</w:t>
            </w:r>
          </w:p>
        </w:tc>
      </w:tr>
      <w:tr w14:paraId="4588D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0" w:type="pct"/>
            <w:shd w:val="clear" w:color="auto" w:fill="auto"/>
            <w:vAlign w:val="center"/>
          </w:tcPr>
          <w:p w14:paraId="1117827F">
            <w:pPr>
              <w:widowControl/>
              <w:spacing w:line="360" w:lineRule="auto"/>
              <w:jc w:val="left"/>
              <w:rPr>
                <w:rFonts w:ascii="宋体" w:hAnsi="宋体" w:cs="宋体"/>
                <w:bCs/>
                <w:kern w:val="0"/>
                <w:szCs w:val="21"/>
              </w:rPr>
            </w:pPr>
            <w:r>
              <w:rPr>
                <w:rFonts w:hint="eastAsia" w:ascii="宋体" w:hAnsi="宋体" w:cs="宋体"/>
                <w:bCs/>
                <w:kern w:val="0"/>
                <w:szCs w:val="21"/>
              </w:rPr>
              <w:t>□水厂及配套工程              立方米/d</w:t>
            </w:r>
          </w:p>
        </w:tc>
        <w:tc>
          <w:tcPr>
            <w:tcW w:w="2340" w:type="pct"/>
            <w:shd w:val="clear" w:color="auto" w:fill="auto"/>
            <w:vAlign w:val="center"/>
          </w:tcPr>
          <w:p w14:paraId="6EB32E42">
            <w:pPr>
              <w:widowControl/>
              <w:tabs>
                <w:tab w:val="left" w:pos="600"/>
              </w:tabs>
              <w:spacing w:line="360" w:lineRule="auto"/>
              <w:jc w:val="left"/>
              <w:rPr>
                <w:rFonts w:ascii="宋体" w:hAnsi="宋体" w:cs="宋体"/>
                <w:bCs/>
                <w:kern w:val="0"/>
                <w:szCs w:val="21"/>
              </w:rPr>
            </w:pPr>
            <w:r>
              <w:rPr>
                <w:rFonts w:hint="eastAsia" w:ascii="宋体" w:hAnsi="宋体" w:cs="宋体"/>
                <w:bCs/>
                <w:kern w:val="0"/>
                <w:szCs w:val="21"/>
              </w:rPr>
              <w:t>□污泥处理厂及配套工程     立方米/d</w:t>
            </w:r>
          </w:p>
        </w:tc>
      </w:tr>
      <w:tr w14:paraId="6A4AA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0" w:type="pct"/>
            <w:shd w:val="clear" w:color="auto" w:fill="auto"/>
            <w:vAlign w:val="center"/>
          </w:tcPr>
          <w:p w14:paraId="0C6314B6">
            <w:pPr>
              <w:widowControl/>
              <w:spacing w:line="360" w:lineRule="auto"/>
              <w:jc w:val="left"/>
              <w:rPr>
                <w:rFonts w:ascii="宋体" w:hAnsi="宋体" w:cs="宋体"/>
                <w:bCs/>
                <w:kern w:val="0"/>
                <w:szCs w:val="21"/>
              </w:rPr>
            </w:pPr>
            <w:r>
              <w:rPr>
                <w:rFonts w:hint="eastAsia" w:ascii="宋体" w:hAnsi="宋体" w:cs="宋体"/>
                <w:bCs/>
                <w:kern w:val="0"/>
                <w:szCs w:val="21"/>
              </w:rPr>
              <w:t>□给水管道工程            米</w:t>
            </w:r>
          </w:p>
        </w:tc>
        <w:tc>
          <w:tcPr>
            <w:tcW w:w="2340" w:type="pct"/>
            <w:shd w:val="clear" w:color="auto" w:fill="auto"/>
            <w:vAlign w:val="center"/>
          </w:tcPr>
          <w:p w14:paraId="1CB4CF47">
            <w:pPr>
              <w:widowControl/>
              <w:tabs>
                <w:tab w:val="left" w:pos="600"/>
              </w:tabs>
              <w:spacing w:line="360" w:lineRule="auto"/>
              <w:jc w:val="left"/>
              <w:rPr>
                <w:rFonts w:ascii="宋体" w:hAnsi="宋体" w:cs="宋体"/>
                <w:bCs/>
                <w:kern w:val="0"/>
                <w:szCs w:val="21"/>
              </w:rPr>
            </w:pPr>
            <w:r>
              <w:rPr>
                <w:rFonts w:hint="eastAsia" w:ascii="宋体" w:hAnsi="宋体" w:cs="宋体"/>
                <w:bCs/>
                <w:kern w:val="0"/>
                <w:szCs w:val="21"/>
              </w:rPr>
              <w:t>□泵站工程                   平方米</w:t>
            </w:r>
          </w:p>
        </w:tc>
      </w:tr>
      <w:tr w14:paraId="1EF09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0" w:type="pct"/>
            <w:shd w:val="clear" w:color="auto" w:fill="auto"/>
            <w:vAlign w:val="center"/>
          </w:tcPr>
          <w:p w14:paraId="738838CD">
            <w:pPr>
              <w:widowControl/>
              <w:spacing w:line="360" w:lineRule="auto"/>
              <w:jc w:val="left"/>
              <w:rPr>
                <w:rFonts w:ascii="宋体" w:hAnsi="宋体" w:cs="宋体"/>
                <w:bCs/>
                <w:kern w:val="0"/>
                <w:szCs w:val="21"/>
              </w:rPr>
            </w:pPr>
            <w:r>
              <w:rPr>
                <w:rFonts w:hint="eastAsia" w:ascii="宋体" w:hAnsi="宋体" w:cs="宋体"/>
                <w:bCs/>
                <w:kern w:val="0"/>
                <w:szCs w:val="21"/>
              </w:rPr>
              <w:t>□道路工程   长：  米 宽：  米</w:t>
            </w:r>
          </w:p>
        </w:tc>
        <w:tc>
          <w:tcPr>
            <w:tcW w:w="2340" w:type="pct"/>
            <w:shd w:val="clear" w:color="auto" w:fill="auto"/>
            <w:vAlign w:val="center"/>
          </w:tcPr>
          <w:p w14:paraId="46D0C28B">
            <w:pPr>
              <w:widowControl/>
              <w:tabs>
                <w:tab w:val="left" w:pos="600"/>
              </w:tabs>
              <w:spacing w:line="360" w:lineRule="auto"/>
              <w:jc w:val="left"/>
              <w:rPr>
                <w:rFonts w:ascii="宋体" w:hAnsi="宋体" w:cs="宋体"/>
                <w:bCs/>
                <w:kern w:val="0"/>
                <w:szCs w:val="21"/>
              </w:rPr>
            </w:pPr>
            <w:r>
              <w:rPr>
                <w:rFonts w:hint="eastAsia" w:ascii="宋体" w:hAnsi="宋体" w:cs="宋体"/>
                <w:bCs/>
                <w:kern w:val="0"/>
                <w:szCs w:val="21"/>
              </w:rPr>
              <w:t>□隧道工程  长：  米 宽：  米 高：  米</w:t>
            </w:r>
          </w:p>
        </w:tc>
      </w:tr>
      <w:tr w14:paraId="177B9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0" w:type="pct"/>
            <w:shd w:val="clear" w:color="auto" w:fill="auto"/>
            <w:vAlign w:val="center"/>
          </w:tcPr>
          <w:p w14:paraId="4B6C689F">
            <w:pPr>
              <w:widowControl/>
              <w:spacing w:line="360" w:lineRule="auto"/>
              <w:jc w:val="left"/>
              <w:rPr>
                <w:rFonts w:ascii="宋体" w:hAnsi="宋体" w:cs="宋体"/>
                <w:bCs/>
                <w:kern w:val="0"/>
                <w:szCs w:val="21"/>
              </w:rPr>
            </w:pPr>
            <w:r>
              <w:rPr>
                <w:rFonts w:hint="eastAsia" w:ascii="宋体" w:hAnsi="宋体" w:cs="宋体"/>
                <w:bCs/>
                <w:kern w:val="0"/>
                <w:szCs w:val="21"/>
              </w:rPr>
              <w:t>□桥梁工程           座</w:t>
            </w:r>
          </w:p>
        </w:tc>
        <w:tc>
          <w:tcPr>
            <w:tcW w:w="2340" w:type="pct"/>
            <w:shd w:val="clear" w:color="auto" w:fill="auto"/>
            <w:vAlign w:val="center"/>
          </w:tcPr>
          <w:p w14:paraId="6F23B36B">
            <w:pPr>
              <w:widowControl/>
              <w:tabs>
                <w:tab w:val="left" w:pos="600"/>
              </w:tabs>
              <w:spacing w:line="360" w:lineRule="auto"/>
              <w:jc w:val="left"/>
              <w:rPr>
                <w:rFonts w:ascii="宋体" w:hAnsi="宋体" w:cs="宋体"/>
                <w:bCs/>
                <w:kern w:val="0"/>
                <w:szCs w:val="21"/>
              </w:rPr>
            </w:pPr>
            <w:r>
              <w:rPr>
                <w:rFonts w:hint="eastAsia" w:ascii="宋体" w:hAnsi="宋体" w:cs="宋体"/>
                <w:bCs/>
                <w:kern w:val="0"/>
                <w:szCs w:val="21"/>
              </w:rPr>
              <w:t>□道路改造工程  长：  米   宽：  米</w:t>
            </w:r>
          </w:p>
        </w:tc>
      </w:tr>
      <w:tr w14:paraId="5A7A2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0" w:type="pct"/>
            <w:shd w:val="clear" w:color="auto" w:fill="auto"/>
            <w:vAlign w:val="center"/>
          </w:tcPr>
          <w:p w14:paraId="4D9D56F0">
            <w:pPr>
              <w:widowControl/>
              <w:spacing w:line="360" w:lineRule="auto"/>
              <w:jc w:val="left"/>
              <w:rPr>
                <w:rFonts w:ascii="宋体" w:hAnsi="宋体" w:cs="宋体"/>
                <w:bCs/>
                <w:kern w:val="0"/>
                <w:szCs w:val="21"/>
              </w:rPr>
            </w:pPr>
            <w:r>
              <w:rPr>
                <w:rFonts w:hint="eastAsia" w:ascii="宋体" w:hAnsi="宋体" w:cs="宋体"/>
                <w:bCs/>
                <w:kern w:val="0"/>
                <w:szCs w:val="21"/>
              </w:rPr>
              <w:t>□排水箱涵工程  长：  米 宽：  米 高：  米</w:t>
            </w:r>
          </w:p>
        </w:tc>
        <w:tc>
          <w:tcPr>
            <w:tcW w:w="2340" w:type="pct"/>
            <w:shd w:val="clear" w:color="auto" w:fill="auto"/>
            <w:vAlign w:val="center"/>
          </w:tcPr>
          <w:p w14:paraId="27302146">
            <w:pPr>
              <w:widowControl/>
              <w:tabs>
                <w:tab w:val="left" w:pos="600"/>
              </w:tabs>
              <w:spacing w:line="360" w:lineRule="auto"/>
              <w:jc w:val="left"/>
              <w:rPr>
                <w:rFonts w:ascii="宋体" w:hAnsi="宋体" w:cs="宋体"/>
                <w:bCs/>
                <w:kern w:val="0"/>
                <w:szCs w:val="21"/>
              </w:rPr>
            </w:pPr>
            <w:r>
              <w:rPr>
                <w:rFonts w:hint="eastAsia" w:ascii="宋体" w:hAnsi="宋体" w:cs="宋体"/>
                <w:bCs/>
                <w:kern w:val="0"/>
                <w:szCs w:val="21"/>
              </w:rPr>
              <w:t xml:space="preserve">□路灯照明工程           座    </w:t>
            </w:r>
          </w:p>
        </w:tc>
      </w:tr>
      <w:tr w14:paraId="3646A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0" w:type="pct"/>
            <w:shd w:val="clear" w:color="auto" w:fill="auto"/>
            <w:vAlign w:val="center"/>
          </w:tcPr>
          <w:p w14:paraId="70B7BA1A">
            <w:pPr>
              <w:widowControl/>
              <w:spacing w:line="360" w:lineRule="auto"/>
              <w:jc w:val="left"/>
              <w:rPr>
                <w:rFonts w:ascii="宋体" w:hAnsi="宋体" w:cs="宋体"/>
                <w:bCs/>
                <w:kern w:val="0"/>
                <w:szCs w:val="21"/>
              </w:rPr>
            </w:pPr>
            <w:r>
              <w:rPr>
                <w:rFonts w:hint="eastAsia" w:ascii="宋体" w:hAnsi="宋体" w:cs="宋体"/>
                <w:bCs/>
                <w:kern w:val="0"/>
                <w:szCs w:val="21"/>
              </w:rPr>
              <w:t>□交通监控、收费综合系统工程</w:t>
            </w:r>
          </w:p>
        </w:tc>
        <w:tc>
          <w:tcPr>
            <w:tcW w:w="2340" w:type="pct"/>
            <w:shd w:val="clear" w:color="auto" w:fill="auto"/>
            <w:vAlign w:val="center"/>
          </w:tcPr>
          <w:p w14:paraId="304536A6">
            <w:pPr>
              <w:widowControl/>
              <w:tabs>
                <w:tab w:val="left" w:pos="600"/>
              </w:tabs>
              <w:spacing w:line="360" w:lineRule="auto"/>
              <w:jc w:val="left"/>
              <w:rPr>
                <w:rFonts w:ascii="宋体" w:hAnsi="宋体" w:cs="宋体"/>
                <w:bCs/>
                <w:kern w:val="0"/>
                <w:szCs w:val="21"/>
              </w:rPr>
            </w:pPr>
            <w:r>
              <w:rPr>
                <w:rFonts w:hint="eastAsia" w:ascii="宋体" w:hAnsi="宋体" w:cs="宋体"/>
                <w:bCs/>
                <w:kern w:val="0"/>
                <w:szCs w:val="21"/>
              </w:rPr>
              <w:t>□绿化工程          米</w:t>
            </w:r>
          </w:p>
        </w:tc>
      </w:tr>
      <w:tr w14:paraId="14E2A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660" w:type="pct"/>
            <w:shd w:val="clear" w:color="auto" w:fill="auto"/>
            <w:vAlign w:val="center"/>
          </w:tcPr>
          <w:p w14:paraId="440645E5">
            <w:pPr>
              <w:widowControl/>
              <w:spacing w:line="360" w:lineRule="auto"/>
              <w:jc w:val="left"/>
              <w:rPr>
                <w:rFonts w:ascii="宋体" w:hAnsi="宋体" w:cs="宋体"/>
                <w:bCs/>
                <w:kern w:val="0"/>
                <w:szCs w:val="21"/>
              </w:rPr>
            </w:pPr>
            <w:r>
              <w:rPr>
                <w:rFonts w:hint="eastAsia" w:ascii="宋体" w:hAnsi="宋体" w:cs="宋体"/>
                <w:bCs/>
                <w:kern w:val="0"/>
                <w:szCs w:val="21"/>
              </w:rPr>
              <w:t>□交通安全设施工程          米</w:t>
            </w:r>
          </w:p>
        </w:tc>
        <w:tc>
          <w:tcPr>
            <w:tcW w:w="2340" w:type="pct"/>
            <w:shd w:val="clear" w:color="auto" w:fill="auto"/>
            <w:vAlign w:val="center"/>
          </w:tcPr>
          <w:p w14:paraId="5D3E55F6">
            <w:pPr>
              <w:widowControl/>
              <w:tabs>
                <w:tab w:val="left" w:pos="600"/>
              </w:tabs>
              <w:spacing w:line="360" w:lineRule="auto"/>
              <w:jc w:val="left"/>
              <w:rPr>
                <w:rFonts w:ascii="宋体" w:hAnsi="宋体" w:cs="宋体"/>
                <w:bCs/>
                <w:kern w:val="0"/>
                <w:szCs w:val="21"/>
              </w:rPr>
            </w:pPr>
            <w:r>
              <w:rPr>
                <w:rFonts w:hint="eastAsia" w:ascii="宋体" w:hAnsi="宋体" w:cs="宋体"/>
                <w:bCs/>
                <w:kern w:val="0"/>
                <w:szCs w:val="21"/>
              </w:rPr>
              <w:t>□燃气工程          米</w:t>
            </w:r>
          </w:p>
        </w:tc>
      </w:tr>
      <w:tr w14:paraId="29C09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2"/>
            <w:shd w:val="clear" w:color="auto" w:fill="auto"/>
            <w:vAlign w:val="center"/>
          </w:tcPr>
          <w:p w14:paraId="357FB599">
            <w:pPr>
              <w:widowControl/>
              <w:spacing w:line="360" w:lineRule="auto"/>
              <w:jc w:val="left"/>
              <w:rPr>
                <w:rFonts w:ascii="宋体" w:hAnsi="宋体" w:cs="宋体"/>
                <w:bCs/>
                <w:kern w:val="0"/>
                <w:szCs w:val="21"/>
              </w:rPr>
            </w:pPr>
            <w:r>
              <w:rPr>
                <w:rFonts w:hint="eastAsia" w:ascii="宋体" w:hAnsi="宋体" w:cs="宋体"/>
                <w:bCs/>
                <w:kern w:val="0"/>
                <w:szCs w:val="21"/>
              </w:rPr>
              <w:t>□其它:</w:t>
            </w:r>
          </w:p>
        </w:tc>
      </w:tr>
    </w:tbl>
    <w:p w14:paraId="20EBAF08">
      <w:pPr>
        <w:widowControl/>
        <w:spacing w:line="360" w:lineRule="auto"/>
        <w:jc w:val="left"/>
        <w:rPr>
          <w:rFonts w:ascii="宋体" w:hAnsi="宋体" w:cs="宋体"/>
          <w:kern w:val="0"/>
          <w:szCs w:val="21"/>
        </w:rPr>
      </w:pPr>
      <w:r>
        <w:rPr>
          <w:rFonts w:hint="eastAsia" w:ascii="宋体" w:hAnsi="宋体" w:cs="宋体"/>
          <w:b/>
          <w:kern w:val="0"/>
          <w:szCs w:val="21"/>
        </w:rPr>
        <w:t>2.房屋建筑及配套专业工程：</w:t>
      </w:r>
      <w:r>
        <w:rPr>
          <w:rFonts w:hint="eastAsia" w:ascii="宋体" w:hAnsi="宋体" w:cs="宋体"/>
          <w:kern w:val="0"/>
          <w:szCs w:val="21"/>
        </w:rPr>
        <w:t>(在□内打√，并填写相应的工程量)</w:t>
      </w:r>
    </w:p>
    <w:tbl>
      <w:tblPr>
        <w:tblStyle w:val="5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4"/>
        <w:gridCol w:w="12"/>
        <w:gridCol w:w="2792"/>
        <w:gridCol w:w="4148"/>
      </w:tblGrid>
      <w:tr w14:paraId="3B67C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4"/>
            <w:shd w:val="clear" w:color="auto" w:fill="auto"/>
            <w:vAlign w:val="center"/>
          </w:tcPr>
          <w:p w14:paraId="1374AB09">
            <w:pPr>
              <w:widowControl/>
              <w:spacing w:line="360" w:lineRule="auto"/>
              <w:jc w:val="left"/>
              <w:rPr>
                <w:rFonts w:ascii="宋体" w:hAnsi="宋体" w:cs="宋体"/>
                <w:bCs/>
                <w:kern w:val="0"/>
                <w:szCs w:val="21"/>
              </w:rPr>
            </w:pPr>
            <w:r>
              <w:rPr>
                <w:rFonts w:hint="eastAsia" w:ascii="宋体" w:hAnsi="宋体" w:cs="宋体"/>
                <w:bCs/>
                <w:kern w:val="0"/>
                <w:szCs w:val="21"/>
              </w:rPr>
              <w:t xml:space="preserve">□地基与基础工程  （□基础  □ 基坑支护  □边坡  □土方  □其它  ）;  </w:t>
            </w:r>
          </w:p>
        </w:tc>
      </w:tr>
      <w:tr w14:paraId="3C954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4"/>
            <w:shd w:val="clear" w:color="auto" w:fill="auto"/>
            <w:vAlign w:val="center"/>
          </w:tcPr>
          <w:p w14:paraId="0C57F9A9">
            <w:pPr>
              <w:widowControl/>
              <w:spacing w:line="360" w:lineRule="auto"/>
              <w:jc w:val="left"/>
              <w:rPr>
                <w:rFonts w:ascii="宋体" w:hAnsi="宋体" w:cs="宋体"/>
                <w:bCs/>
                <w:kern w:val="0"/>
                <w:szCs w:val="21"/>
              </w:rPr>
            </w:pPr>
            <w:r>
              <w:rPr>
                <w:rFonts w:hint="eastAsia" w:ascii="宋体" w:hAnsi="宋体" w:cs="宋体"/>
                <w:bCs/>
                <w:kern w:val="0"/>
                <w:szCs w:val="21"/>
              </w:rPr>
              <w:t xml:space="preserve">□主体结构工程    （□钢筋混凝土 □钢结构 □钢管混凝土  □型钢混凝土 □其它 ）;  </w:t>
            </w:r>
          </w:p>
        </w:tc>
      </w:tr>
      <w:tr w14:paraId="63D8D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4"/>
            <w:shd w:val="clear" w:color="auto" w:fill="auto"/>
            <w:vAlign w:val="center"/>
          </w:tcPr>
          <w:p w14:paraId="117B3A45">
            <w:pPr>
              <w:widowControl/>
              <w:spacing w:line="360" w:lineRule="auto"/>
              <w:jc w:val="left"/>
              <w:rPr>
                <w:rFonts w:ascii="宋体" w:hAnsi="宋体" w:cs="宋体"/>
                <w:bCs/>
                <w:kern w:val="0"/>
                <w:szCs w:val="21"/>
              </w:rPr>
            </w:pPr>
            <w:r>
              <w:rPr>
                <w:rFonts w:hint="eastAsia" w:ascii="宋体" w:hAnsi="宋体" w:cs="宋体"/>
                <w:bCs/>
                <w:kern w:val="0"/>
                <w:szCs w:val="21"/>
              </w:rPr>
              <w:sym w:font="Wingdings 2" w:char="00A3"/>
            </w:r>
            <w:r>
              <w:rPr>
                <w:rFonts w:hint="eastAsia" w:ascii="宋体" w:hAnsi="宋体" w:cs="宋体"/>
                <w:bCs/>
                <w:kern w:val="0"/>
                <w:szCs w:val="21"/>
              </w:rPr>
              <w:t xml:space="preserve">建筑装饰装修工程     （□门窗   □幕墙：   平方米  □其它  ）;  </w:t>
            </w:r>
          </w:p>
        </w:tc>
      </w:tr>
      <w:tr w14:paraId="524FE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4"/>
            <w:shd w:val="clear" w:color="auto" w:fill="auto"/>
            <w:vAlign w:val="center"/>
          </w:tcPr>
          <w:p w14:paraId="6BF8C251">
            <w:pPr>
              <w:widowControl/>
              <w:spacing w:line="360" w:lineRule="auto"/>
              <w:jc w:val="left"/>
              <w:rPr>
                <w:rFonts w:ascii="宋体" w:hAnsi="宋体" w:cs="宋体"/>
                <w:bCs/>
                <w:kern w:val="0"/>
                <w:szCs w:val="21"/>
              </w:rPr>
            </w:pPr>
            <w:r>
              <w:rPr>
                <w:rFonts w:hint="eastAsia" w:ascii="宋体" w:hAnsi="宋体" w:cs="宋体"/>
                <w:bCs/>
                <w:kern w:val="0"/>
                <w:szCs w:val="21"/>
              </w:rPr>
              <w:t>□通风与空调       (□通风  □空调       □其它  ）;</w:t>
            </w:r>
          </w:p>
        </w:tc>
      </w:tr>
      <w:tr w14:paraId="0F361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4"/>
            <w:shd w:val="clear" w:color="auto" w:fill="auto"/>
            <w:vAlign w:val="center"/>
          </w:tcPr>
          <w:p w14:paraId="4FBCAF22">
            <w:pPr>
              <w:widowControl/>
              <w:spacing w:line="360" w:lineRule="auto"/>
              <w:jc w:val="left"/>
              <w:rPr>
                <w:rFonts w:ascii="宋体" w:hAnsi="宋体" w:cs="宋体"/>
                <w:bCs/>
                <w:kern w:val="0"/>
                <w:szCs w:val="21"/>
              </w:rPr>
            </w:pPr>
            <w:r>
              <w:rPr>
                <w:rFonts w:hint="eastAsia" w:ascii="宋体" w:hAnsi="宋体" w:cs="宋体"/>
                <w:bCs/>
                <w:kern w:val="0"/>
                <w:szCs w:val="21"/>
              </w:rPr>
              <w:t xml:space="preserve">□建筑给水排水及供暖    （□室内给、排水系统 □ 室外给、排水管网   □其它）;  </w:t>
            </w:r>
          </w:p>
        </w:tc>
      </w:tr>
      <w:tr w14:paraId="7A71C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4"/>
            <w:shd w:val="clear" w:color="auto" w:fill="auto"/>
            <w:vAlign w:val="center"/>
          </w:tcPr>
          <w:p w14:paraId="2A6CCC9C">
            <w:pPr>
              <w:widowControl/>
              <w:spacing w:line="360" w:lineRule="auto"/>
              <w:jc w:val="left"/>
              <w:rPr>
                <w:rFonts w:ascii="宋体" w:hAnsi="宋体" w:cs="宋体"/>
                <w:kern w:val="0"/>
                <w:szCs w:val="21"/>
              </w:rPr>
            </w:pPr>
            <w:r>
              <w:rPr>
                <w:rFonts w:hint="eastAsia" w:ascii="宋体" w:hAnsi="宋体" w:cs="宋体"/>
                <w:bCs/>
                <w:kern w:val="0"/>
                <w:szCs w:val="21"/>
              </w:rPr>
              <w:t>□建筑电气工程     (□室外电气    □电气照明     □其它  ）;</w:t>
            </w:r>
          </w:p>
        </w:tc>
      </w:tr>
      <w:tr w14:paraId="0920F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43" w:type="pct"/>
            <w:gridSpan w:val="2"/>
            <w:shd w:val="clear" w:color="auto" w:fill="auto"/>
            <w:vAlign w:val="center"/>
          </w:tcPr>
          <w:p w14:paraId="0756270B">
            <w:pPr>
              <w:widowControl/>
              <w:spacing w:line="360" w:lineRule="auto"/>
              <w:jc w:val="left"/>
              <w:rPr>
                <w:rFonts w:ascii="宋体" w:hAnsi="宋体" w:cs="宋体"/>
                <w:bCs/>
                <w:kern w:val="0"/>
                <w:szCs w:val="21"/>
              </w:rPr>
            </w:pPr>
            <w:r>
              <w:rPr>
                <w:rFonts w:hint="eastAsia" w:ascii="宋体" w:hAnsi="宋体" w:cs="宋体"/>
                <w:bCs/>
                <w:kern w:val="0"/>
                <w:szCs w:val="21"/>
              </w:rPr>
              <w:t>□智能建筑</w:t>
            </w:r>
          </w:p>
        </w:tc>
        <w:tc>
          <w:tcPr>
            <w:tcW w:w="3557" w:type="pct"/>
            <w:gridSpan w:val="2"/>
            <w:shd w:val="clear" w:color="auto" w:fill="auto"/>
            <w:vAlign w:val="center"/>
          </w:tcPr>
          <w:p w14:paraId="7960248C">
            <w:pPr>
              <w:widowControl/>
              <w:spacing w:line="360" w:lineRule="auto"/>
              <w:jc w:val="left"/>
              <w:rPr>
                <w:rFonts w:ascii="宋体" w:hAnsi="宋体" w:cs="宋体"/>
                <w:bCs/>
                <w:kern w:val="0"/>
                <w:szCs w:val="21"/>
              </w:rPr>
            </w:pPr>
            <w:r>
              <w:rPr>
                <w:rFonts w:hint="eastAsia" w:ascii="宋体" w:hAnsi="宋体" w:cs="宋体"/>
                <w:bCs/>
                <w:kern w:val="0"/>
                <w:szCs w:val="21"/>
              </w:rPr>
              <w:t>(□综合布线系统  □信息网络系统     □其它）;</w:t>
            </w:r>
          </w:p>
        </w:tc>
      </w:tr>
      <w:tr w14:paraId="63187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37" w:type="pct"/>
            <w:shd w:val="clear" w:color="auto" w:fill="auto"/>
            <w:vAlign w:val="center"/>
          </w:tcPr>
          <w:p w14:paraId="1958185A">
            <w:pPr>
              <w:widowControl/>
              <w:spacing w:line="360" w:lineRule="auto"/>
              <w:jc w:val="left"/>
              <w:rPr>
                <w:rFonts w:ascii="宋体" w:hAnsi="宋体" w:cs="宋体"/>
                <w:bCs/>
                <w:kern w:val="0"/>
                <w:szCs w:val="21"/>
              </w:rPr>
            </w:pPr>
            <w:r>
              <w:rPr>
                <w:rFonts w:hint="eastAsia" w:ascii="宋体" w:hAnsi="宋体" w:cs="宋体"/>
                <w:bCs/>
                <w:kern w:val="0"/>
                <w:szCs w:val="21"/>
              </w:rPr>
              <w:sym w:font="Wingdings 2" w:char="00A3"/>
            </w:r>
            <w:r>
              <w:rPr>
                <w:rFonts w:hint="eastAsia" w:ascii="宋体" w:hAnsi="宋体" w:cs="宋体"/>
                <w:bCs/>
                <w:kern w:val="0"/>
                <w:szCs w:val="21"/>
              </w:rPr>
              <w:t>屋面及防水工程</w:t>
            </w:r>
          </w:p>
        </w:tc>
        <w:tc>
          <w:tcPr>
            <w:tcW w:w="1437" w:type="pct"/>
            <w:gridSpan w:val="2"/>
            <w:shd w:val="clear" w:color="auto" w:fill="auto"/>
            <w:vAlign w:val="center"/>
          </w:tcPr>
          <w:p w14:paraId="4F31DF2C">
            <w:pPr>
              <w:widowControl/>
              <w:spacing w:line="360" w:lineRule="auto"/>
              <w:jc w:val="left"/>
              <w:rPr>
                <w:rFonts w:ascii="宋体" w:hAnsi="宋体" w:cs="宋体"/>
                <w:kern w:val="0"/>
                <w:szCs w:val="21"/>
              </w:rPr>
            </w:pPr>
            <w:r>
              <w:rPr>
                <w:rFonts w:hint="eastAsia" w:ascii="宋体" w:hAnsi="宋体" w:cs="宋体"/>
                <w:bCs/>
                <w:kern w:val="0"/>
                <w:szCs w:val="21"/>
              </w:rPr>
              <w:t xml:space="preserve">□建筑节能    </w:t>
            </w:r>
          </w:p>
        </w:tc>
        <w:tc>
          <w:tcPr>
            <w:tcW w:w="2126" w:type="pct"/>
            <w:shd w:val="clear" w:color="auto" w:fill="auto"/>
            <w:vAlign w:val="center"/>
          </w:tcPr>
          <w:p w14:paraId="5CDFCC50">
            <w:pPr>
              <w:widowControl/>
              <w:spacing w:line="360" w:lineRule="auto"/>
              <w:jc w:val="left"/>
              <w:rPr>
                <w:rFonts w:ascii="宋体" w:hAnsi="宋体" w:cs="宋体"/>
                <w:bCs/>
                <w:kern w:val="0"/>
                <w:szCs w:val="21"/>
              </w:rPr>
            </w:pPr>
            <w:r>
              <w:rPr>
                <w:rFonts w:hint="eastAsia" w:ascii="宋体" w:hAnsi="宋体" w:cs="宋体"/>
                <w:bCs/>
                <w:kern w:val="0"/>
                <w:szCs w:val="21"/>
              </w:rPr>
              <w:t>□消防工程</w:t>
            </w:r>
          </w:p>
        </w:tc>
      </w:tr>
      <w:tr w14:paraId="35103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4"/>
            <w:shd w:val="clear" w:color="auto" w:fill="auto"/>
            <w:vAlign w:val="center"/>
          </w:tcPr>
          <w:p w14:paraId="3E7C98EB">
            <w:pPr>
              <w:widowControl/>
              <w:spacing w:line="360" w:lineRule="auto"/>
              <w:jc w:val="left"/>
              <w:rPr>
                <w:rFonts w:ascii="宋体" w:hAnsi="宋体" w:cs="宋体"/>
                <w:bCs/>
                <w:kern w:val="0"/>
                <w:szCs w:val="21"/>
              </w:rPr>
            </w:pPr>
            <w:r>
              <w:rPr>
                <w:rFonts w:hint="eastAsia" w:ascii="宋体" w:hAnsi="宋体" w:cs="宋体"/>
                <w:bCs/>
                <w:kern w:val="0"/>
                <w:szCs w:val="21"/>
              </w:rPr>
              <w:t>□ 室外工程   （ □室外设施  □附属建筑</w:t>
            </w:r>
          </w:p>
          <w:p w14:paraId="147BBFA7">
            <w:pPr>
              <w:widowControl/>
              <w:spacing w:line="360" w:lineRule="auto"/>
              <w:jc w:val="left"/>
              <w:rPr>
                <w:rFonts w:ascii="宋体" w:hAnsi="宋体" w:cs="宋体"/>
                <w:bCs/>
                <w:kern w:val="0"/>
                <w:szCs w:val="21"/>
              </w:rPr>
            </w:pPr>
            <w:r>
              <w:rPr>
                <w:rFonts w:hint="eastAsia" w:ascii="宋体" w:hAnsi="宋体" w:cs="宋体"/>
                <w:bCs/>
                <w:kern w:val="0"/>
                <w:szCs w:val="21"/>
              </w:rPr>
              <w:t xml:space="preserve">                 □室外环境</w:t>
            </w:r>
            <w:r>
              <w:rPr>
                <w:rFonts w:hint="eastAsia" w:ascii="宋体" w:hAnsi="宋体" w:cs="宋体"/>
                <w:kern w:val="0"/>
                <w:szCs w:val="21"/>
                <w:u w:val="single"/>
              </w:rPr>
              <w:t xml:space="preserve">                                       ）</w:t>
            </w:r>
            <w:r>
              <w:rPr>
                <w:rFonts w:hint="eastAsia" w:ascii="宋体" w:hAnsi="宋体" w:cs="宋体"/>
                <w:bCs/>
                <w:kern w:val="0"/>
                <w:szCs w:val="21"/>
              </w:rPr>
              <w:t xml:space="preserve"> 。</w:t>
            </w:r>
          </w:p>
        </w:tc>
      </w:tr>
      <w:tr w14:paraId="51840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4"/>
            <w:shd w:val="clear" w:color="auto" w:fill="auto"/>
            <w:vAlign w:val="center"/>
          </w:tcPr>
          <w:p w14:paraId="71D3957D">
            <w:pPr>
              <w:widowControl/>
              <w:spacing w:line="360" w:lineRule="auto"/>
              <w:jc w:val="left"/>
              <w:rPr>
                <w:rFonts w:ascii="宋体" w:hAnsi="宋体" w:cs="宋体"/>
                <w:bCs/>
                <w:kern w:val="0"/>
                <w:szCs w:val="21"/>
              </w:rPr>
            </w:pPr>
            <w:r>
              <w:rPr>
                <w:rFonts w:hint="eastAsia" w:ascii="宋体" w:hAnsi="宋体" w:cs="宋体"/>
                <w:bCs/>
                <w:kern w:val="0"/>
                <w:szCs w:val="21"/>
              </w:rPr>
              <w:t>□燃气工程     （户数：</w:t>
            </w:r>
            <w:r>
              <w:rPr>
                <w:rFonts w:hint="eastAsia" w:ascii="宋体" w:hAnsi="宋体" w:cs="宋体"/>
                <w:kern w:val="0"/>
                <w:szCs w:val="21"/>
                <w:u w:val="single"/>
              </w:rPr>
              <w:t xml:space="preserve">       ；</w:t>
            </w:r>
            <w:r>
              <w:rPr>
                <w:rFonts w:hint="eastAsia" w:ascii="宋体" w:hAnsi="宋体" w:cs="宋体"/>
                <w:bCs/>
                <w:kern w:val="0"/>
                <w:szCs w:val="21"/>
              </w:rPr>
              <w:t xml:space="preserve"> 庭院管： 米）</w:t>
            </w:r>
          </w:p>
        </w:tc>
      </w:tr>
    </w:tbl>
    <w:p w14:paraId="14E1FBBD">
      <w:pPr>
        <w:widowControl/>
        <w:spacing w:line="360" w:lineRule="auto"/>
        <w:jc w:val="left"/>
        <w:rPr>
          <w:rFonts w:ascii="宋体" w:hAnsi="宋体" w:cs="宋体"/>
          <w:kern w:val="0"/>
          <w:szCs w:val="21"/>
        </w:rPr>
      </w:pPr>
      <w:r>
        <w:rPr>
          <w:rFonts w:hint="eastAsia" w:ascii="宋体" w:hAnsi="宋体" w:cs="宋体"/>
          <w:b/>
          <w:kern w:val="0"/>
          <w:szCs w:val="21"/>
        </w:rPr>
        <w:t>3.二次装饰装修工程：</w:t>
      </w:r>
      <w:r>
        <w:rPr>
          <w:rFonts w:hint="eastAsia" w:ascii="宋体" w:hAnsi="宋体" w:cs="宋体"/>
          <w:kern w:val="0"/>
          <w:szCs w:val="21"/>
        </w:rPr>
        <w:t>(在□内打√，并填写相应的工程量)</w:t>
      </w:r>
    </w:p>
    <w:tbl>
      <w:tblPr>
        <w:tblStyle w:val="5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7"/>
        <w:gridCol w:w="2021"/>
        <w:gridCol w:w="2332"/>
        <w:gridCol w:w="1865"/>
        <w:gridCol w:w="1711"/>
      </w:tblGrid>
      <w:tr w14:paraId="2A131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36" w:type="pct"/>
            <w:shd w:val="clear" w:color="auto" w:fill="auto"/>
            <w:vAlign w:val="center"/>
          </w:tcPr>
          <w:p w14:paraId="2D004BD8">
            <w:pPr>
              <w:widowControl/>
              <w:spacing w:line="360" w:lineRule="auto"/>
              <w:jc w:val="left"/>
              <w:rPr>
                <w:rFonts w:ascii="宋体" w:hAnsi="宋体" w:cs="宋体"/>
                <w:bCs/>
                <w:kern w:val="0"/>
                <w:szCs w:val="21"/>
              </w:rPr>
            </w:pPr>
            <w:r>
              <w:rPr>
                <w:rFonts w:hint="eastAsia" w:ascii="宋体" w:hAnsi="宋体" w:cs="宋体"/>
                <w:bCs/>
                <w:kern w:val="0"/>
                <w:szCs w:val="21"/>
              </w:rPr>
              <w:sym w:font="Wingdings 2" w:char="00A3"/>
            </w:r>
            <w:r>
              <w:rPr>
                <w:rFonts w:hint="eastAsia" w:ascii="宋体" w:hAnsi="宋体" w:cs="宋体"/>
                <w:bCs/>
                <w:kern w:val="0"/>
                <w:szCs w:val="21"/>
              </w:rPr>
              <w:t>消防工程</w:t>
            </w:r>
          </w:p>
        </w:tc>
        <w:tc>
          <w:tcPr>
            <w:tcW w:w="1036" w:type="pct"/>
            <w:shd w:val="clear" w:color="auto" w:fill="auto"/>
            <w:vAlign w:val="center"/>
          </w:tcPr>
          <w:p w14:paraId="5A1F217D">
            <w:pPr>
              <w:widowControl/>
              <w:spacing w:line="360" w:lineRule="auto"/>
              <w:jc w:val="left"/>
              <w:rPr>
                <w:rFonts w:ascii="宋体" w:hAnsi="宋体" w:cs="宋体"/>
                <w:bCs/>
                <w:kern w:val="0"/>
                <w:szCs w:val="21"/>
              </w:rPr>
            </w:pPr>
            <w:r>
              <w:rPr>
                <w:rFonts w:hint="eastAsia" w:ascii="宋体" w:hAnsi="宋体" w:cs="宋体"/>
                <w:bCs/>
                <w:kern w:val="0"/>
                <w:szCs w:val="21"/>
              </w:rPr>
              <w:sym w:font="Wingdings 2" w:char="00A3"/>
            </w:r>
            <w:r>
              <w:rPr>
                <w:rFonts w:hint="eastAsia" w:ascii="宋体" w:hAnsi="宋体" w:cs="宋体"/>
                <w:bCs/>
                <w:kern w:val="0"/>
                <w:szCs w:val="21"/>
              </w:rPr>
              <w:t>门窗</w:t>
            </w:r>
          </w:p>
        </w:tc>
        <w:tc>
          <w:tcPr>
            <w:tcW w:w="1195" w:type="pct"/>
            <w:shd w:val="clear" w:color="auto" w:fill="auto"/>
            <w:vAlign w:val="center"/>
          </w:tcPr>
          <w:p w14:paraId="51204C0D">
            <w:pPr>
              <w:widowControl/>
              <w:spacing w:line="360" w:lineRule="auto"/>
              <w:jc w:val="left"/>
              <w:rPr>
                <w:rFonts w:ascii="宋体" w:hAnsi="宋体" w:cs="宋体"/>
                <w:bCs/>
                <w:kern w:val="0"/>
                <w:szCs w:val="21"/>
              </w:rPr>
            </w:pPr>
            <w:r>
              <w:rPr>
                <w:rFonts w:hint="eastAsia" w:ascii="宋体" w:hAnsi="宋体" w:cs="宋体"/>
                <w:bCs/>
                <w:kern w:val="0"/>
                <w:szCs w:val="21"/>
              </w:rPr>
              <w:sym w:font="Wingdings 2" w:char="00A3"/>
            </w:r>
            <w:r>
              <w:rPr>
                <w:rFonts w:hint="eastAsia" w:ascii="宋体" w:hAnsi="宋体" w:cs="宋体"/>
                <w:bCs/>
                <w:kern w:val="0"/>
                <w:szCs w:val="21"/>
              </w:rPr>
              <w:t>防水工程</w:t>
            </w:r>
          </w:p>
        </w:tc>
        <w:tc>
          <w:tcPr>
            <w:tcW w:w="956" w:type="pct"/>
            <w:shd w:val="clear" w:color="auto" w:fill="auto"/>
            <w:vAlign w:val="center"/>
          </w:tcPr>
          <w:p w14:paraId="446DE3FF">
            <w:pPr>
              <w:widowControl/>
              <w:spacing w:line="360" w:lineRule="auto"/>
              <w:jc w:val="left"/>
              <w:rPr>
                <w:rFonts w:ascii="宋体" w:hAnsi="宋体" w:cs="宋体"/>
                <w:bCs/>
                <w:kern w:val="0"/>
                <w:szCs w:val="21"/>
              </w:rPr>
            </w:pPr>
            <w:r>
              <w:rPr>
                <w:rFonts w:hint="eastAsia" w:ascii="宋体" w:hAnsi="宋体" w:cs="宋体"/>
                <w:bCs/>
                <w:kern w:val="0"/>
                <w:szCs w:val="21"/>
              </w:rPr>
              <w:sym w:font="Wingdings 2" w:char="00A3"/>
            </w:r>
            <w:r>
              <w:rPr>
                <w:rFonts w:hint="eastAsia" w:ascii="宋体" w:hAnsi="宋体" w:cs="宋体"/>
                <w:bCs/>
                <w:kern w:val="0"/>
                <w:szCs w:val="21"/>
              </w:rPr>
              <w:t xml:space="preserve">电气照明 </w:t>
            </w:r>
          </w:p>
        </w:tc>
        <w:tc>
          <w:tcPr>
            <w:tcW w:w="877" w:type="pct"/>
            <w:shd w:val="clear" w:color="auto" w:fill="auto"/>
            <w:vAlign w:val="center"/>
          </w:tcPr>
          <w:p w14:paraId="20D1406C">
            <w:pPr>
              <w:widowControl/>
              <w:spacing w:line="360" w:lineRule="auto"/>
              <w:jc w:val="left"/>
              <w:rPr>
                <w:rFonts w:ascii="宋体" w:hAnsi="宋体" w:cs="宋体"/>
                <w:bCs/>
                <w:kern w:val="0"/>
                <w:szCs w:val="21"/>
              </w:rPr>
            </w:pPr>
            <w:r>
              <w:rPr>
                <w:rFonts w:hint="eastAsia" w:ascii="宋体" w:hAnsi="宋体" w:cs="宋体"/>
                <w:bCs/>
                <w:kern w:val="0"/>
                <w:szCs w:val="21"/>
              </w:rPr>
              <w:t>□</w:t>
            </w:r>
            <w:r>
              <w:rPr>
                <w:rFonts w:hint="eastAsia" w:ascii="宋体" w:hAnsi="宋体" w:cs="宋体"/>
                <w:kern w:val="0"/>
                <w:szCs w:val="21"/>
              </w:rPr>
              <w:t>建筑节能</w:t>
            </w:r>
          </w:p>
        </w:tc>
      </w:tr>
      <w:tr w14:paraId="57BA0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5"/>
            <w:shd w:val="clear" w:color="auto" w:fill="auto"/>
            <w:vAlign w:val="center"/>
          </w:tcPr>
          <w:p w14:paraId="0BDAB27E">
            <w:pPr>
              <w:widowControl/>
              <w:tabs>
                <w:tab w:val="left" w:pos="600"/>
              </w:tabs>
              <w:spacing w:line="360" w:lineRule="auto"/>
              <w:jc w:val="left"/>
              <w:rPr>
                <w:rFonts w:ascii="宋体" w:hAnsi="宋体" w:cs="宋体"/>
                <w:kern w:val="0"/>
                <w:szCs w:val="21"/>
              </w:rPr>
            </w:pPr>
            <w:r>
              <w:rPr>
                <w:rFonts w:hint="eastAsia" w:ascii="宋体" w:hAnsi="宋体" w:cs="宋体"/>
                <w:bCs/>
                <w:kern w:val="0"/>
                <w:szCs w:val="21"/>
              </w:rPr>
              <w:t>□通风与空调 (□通风  □空调       □其它  );</w:t>
            </w:r>
          </w:p>
        </w:tc>
      </w:tr>
      <w:tr w14:paraId="56DC4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5"/>
            <w:shd w:val="clear" w:color="auto" w:fill="auto"/>
            <w:vAlign w:val="center"/>
          </w:tcPr>
          <w:p w14:paraId="0B3AB1D0">
            <w:pPr>
              <w:widowControl/>
              <w:spacing w:line="360" w:lineRule="auto"/>
              <w:jc w:val="left"/>
              <w:rPr>
                <w:rFonts w:ascii="宋体" w:hAnsi="宋体" w:cs="宋体"/>
                <w:kern w:val="0"/>
                <w:szCs w:val="21"/>
              </w:rPr>
            </w:pPr>
            <w:r>
              <w:rPr>
                <w:rFonts w:hint="eastAsia" w:ascii="宋体" w:hAnsi="宋体" w:cs="宋体"/>
                <w:bCs/>
                <w:kern w:val="0"/>
                <w:szCs w:val="21"/>
              </w:rPr>
              <w:sym w:font="Wingdings 2" w:char="00A3"/>
            </w:r>
            <w:r>
              <w:rPr>
                <w:rFonts w:hint="eastAsia" w:ascii="宋体" w:hAnsi="宋体" w:cs="宋体"/>
                <w:bCs/>
                <w:kern w:val="0"/>
                <w:szCs w:val="21"/>
              </w:rPr>
              <w:t>建筑给排水及供暖（</w:t>
            </w:r>
            <w:r>
              <w:rPr>
                <w:rFonts w:hint="eastAsia" w:ascii="宋体" w:hAnsi="宋体" w:cs="宋体"/>
                <w:bCs/>
                <w:kern w:val="0"/>
                <w:szCs w:val="21"/>
              </w:rPr>
              <w:sym w:font="Wingdings 2" w:char="00A3"/>
            </w:r>
            <w:r>
              <w:rPr>
                <w:rFonts w:hint="eastAsia" w:ascii="宋体" w:hAnsi="宋体" w:cs="宋体"/>
                <w:bCs/>
                <w:kern w:val="0"/>
                <w:szCs w:val="21"/>
              </w:rPr>
              <w:t>室内给、排水系统      □其它  ）;</w:t>
            </w:r>
          </w:p>
        </w:tc>
      </w:tr>
      <w:tr w14:paraId="00B80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5"/>
            <w:shd w:val="clear" w:color="auto" w:fill="auto"/>
            <w:vAlign w:val="center"/>
          </w:tcPr>
          <w:p w14:paraId="71D10DDB">
            <w:pPr>
              <w:widowControl/>
              <w:tabs>
                <w:tab w:val="left" w:pos="600"/>
              </w:tabs>
              <w:spacing w:line="360" w:lineRule="auto"/>
              <w:jc w:val="left"/>
              <w:rPr>
                <w:rFonts w:ascii="宋体" w:hAnsi="宋体" w:cs="宋体"/>
                <w:bCs/>
                <w:kern w:val="0"/>
                <w:szCs w:val="21"/>
              </w:rPr>
            </w:pPr>
            <w:r>
              <w:rPr>
                <w:rFonts w:hint="eastAsia" w:ascii="宋体" w:hAnsi="宋体" w:cs="宋体"/>
                <w:bCs/>
                <w:kern w:val="0"/>
                <w:szCs w:val="21"/>
              </w:rPr>
              <w:sym w:font="Wingdings 2" w:char="00A3"/>
            </w:r>
            <w:r>
              <w:rPr>
                <w:rFonts w:hint="eastAsia" w:ascii="宋体" w:hAnsi="宋体" w:cs="宋体"/>
                <w:bCs/>
                <w:kern w:val="0"/>
                <w:szCs w:val="21"/>
              </w:rPr>
              <w:t>智能建筑  (</w:t>
            </w:r>
            <w:r>
              <w:rPr>
                <w:rFonts w:hint="eastAsia" w:ascii="宋体" w:hAnsi="宋体" w:cs="宋体"/>
                <w:bCs/>
                <w:kern w:val="0"/>
                <w:szCs w:val="21"/>
              </w:rPr>
              <w:sym w:font="Wingdings 2" w:char="00A3"/>
            </w:r>
            <w:r>
              <w:rPr>
                <w:rFonts w:hint="eastAsia" w:ascii="宋体" w:hAnsi="宋体" w:cs="宋体"/>
                <w:bCs/>
                <w:kern w:val="0"/>
                <w:szCs w:val="21"/>
              </w:rPr>
              <w:t>综合布线系统    □信息网络系统    □其它  ）;</w:t>
            </w:r>
          </w:p>
        </w:tc>
      </w:tr>
      <w:tr w14:paraId="20729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5"/>
            <w:shd w:val="clear" w:color="auto" w:fill="auto"/>
            <w:vAlign w:val="center"/>
          </w:tcPr>
          <w:p w14:paraId="6EAE758F">
            <w:pPr>
              <w:widowControl/>
              <w:tabs>
                <w:tab w:val="left" w:pos="600"/>
              </w:tabs>
              <w:spacing w:line="360" w:lineRule="auto"/>
              <w:jc w:val="left"/>
              <w:rPr>
                <w:rFonts w:ascii="宋体" w:hAnsi="宋体" w:cs="宋体"/>
                <w:bCs/>
                <w:kern w:val="0"/>
                <w:szCs w:val="21"/>
              </w:rPr>
            </w:pPr>
            <w:r>
              <w:rPr>
                <w:rFonts w:hint="eastAsia" w:ascii="宋体" w:hAnsi="宋体" w:cs="宋体"/>
                <w:bCs/>
                <w:kern w:val="0"/>
                <w:szCs w:val="21"/>
              </w:rPr>
              <w:sym w:font="Wingdings 2" w:char="00A3"/>
            </w:r>
            <w:r>
              <w:rPr>
                <w:rFonts w:hint="eastAsia" w:ascii="宋体" w:hAnsi="宋体" w:cs="宋体"/>
                <w:bCs/>
                <w:kern w:val="0"/>
                <w:szCs w:val="21"/>
              </w:rPr>
              <w:t>其它：</w:t>
            </w:r>
          </w:p>
        </w:tc>
      </w:tr>
    </w:tbl>
    <w:p w14:paraId="6AC7DB30">
      <w:pPr>
        <w:widowControl/>
        <w:spacing w:line="360" w:lineRule="auto"/>
        <w:jc w:val="left"/>
        <w:rPr>
          <w:rFonts w:ascii="宋体" w:hAnsi="宋体" w:cs="宋体"/>
          <w:kern w:val="0"/>
          <w:szCs w:val="21"/>
        </w:rPr>
      </w:pPr>
      <w:r>
        <w:rPr>
          <w:rFonts w:hint="eastAsia" w:ascii="宋体" w:hAnsi="宋体" w:cs="宋体"/>
          <w:b/>
          <w:kern w:val="0"/>
          <w:szCs w:val="21"/>
        </w:rPr>
        <w:t>4.其他工程</w:t>
      </w:r>
    </w:p>
    <w:p w14:paraId="59F4B15C">
      <w:pPr>
        <w:widowControl/>
        <w:spacing w:line="360" w:lineRule="auto"/>
        <w:jc w:val="left"/>
        <w:rPr>
          <w:rFonts w:ascii="宋体" w:hAnsi="宋体" w:cs="宋体"/>
          <w:kern w:val="0"/>
          <w:szCs w:val="21"/>
        </w:rPr>
      </w:pPr>
      <w:r>
        <w:rPr>
          <w:rFonts w:hint="eastAsia" w:ascii="宋体" w:hAnsi="宋体" w:cs="宋体"/>
          <w:b/>
          <w:kern w:val="0"/>
          <w:szCs w:val="21"/>
        </w:rPr>
        <w:t>三、合同工期</w:t>
      </w:r>
    </w:p>
    <w:p w14:paraId="06BED14A">
      <w:pPr>
        <w:widowControl/>
        <w:spacing w:line="360" w:lineRule="auto"/>
        <w:ind w:firstLine="480"/>
        <w:jc w:val="left"/>
        <w:rPr>
          <w:rFonts w:ascii="宋体" w:hAnsi="宋体" w:cs="宋体"/>
          <w:kern w:val="0"/>
          <w:szCs w:val="21"/>
        </w:rPr>
      </w:pPr>
      <w:r>
        <w:rPr>
          <w:rFonts w:hint="eastAsia" w:ascii="宋体" w:hAnsi="宋体" w:cs="宋体"/>
          <w:kern w:val="0"/>
          <w:szCs w:val="21"/>
        </w:rPr>
        <w:t>计划开工日期：年  月  日；(具体时间以开工令上时间为准)</w:t>
      </w:r>
    </w:p>
    <w:p w14:paraId="5FA28708">
      <w:pPr>
        <w:widowControl/>
        <w:spacing w:line="360" w:lineRule="auto"/>
        <w:ind w:firstLine="480"/>
        <w:jc w:val="left"/>
        <w:rPr>
          <w:rFonts w:ascii="宋体" w:hAnsi="宋体" w:cs="宋体"/>
          <w:kern w:val="0"/>
          <w:szCs w:val="21"/>
          <w:u w:val="single"/>
        </w:rPr>
      </w:pPr>
      <w:r>
        <w:rPr>
          <w:rFonts w:hint="eastAsia" w:ascii="宋体" w:hAnsi="宋体" w:cs="宋体"/>
          <w:kern w:val="0"/>
          <w:szCs w:val="21"/>
        </w:rPr>
        <w:t>计划竣工日期：年  月  日；</w:t>
      </w:r>
    </w:p>
    <w:p w14:paraId="543DB34C">
      <w:pPr>
        <w:widowControl/>
        <w:spacing w:line="360" w:lineRule="auto"/>
        <w:ind w:firstLine="480"/>
        <w:jc w:val="left"/>
        <w:rPr>
          <w:rFonts w:ascii="宋体" w:hAnsi="宋体" w:cs="宋体"/>
          <w:kern w:val="0"/>
          <w:szCs w:val="21"/>
        </w:rPr>
      </w:pPr>
      <w:r>
        <w:rPr>
          <w:rFonts w:hint="eastAsia" w:ascii="宋体" w:hAnsi="宋体" w:cs="宋体"/>
          <w:kern w:val="0"/>
          <w:szCs w:val="21"/>
        </w:rPr>
        <w:t>合同工期总日历天数</w:t>
      </w:r>
      <w:r>
        <w:rPr>
          <w:rFonts w:hint="eastAsia" w:ascii="宋体" w:hAnsi="宋体" w:cs="宋体"/>
          <w:kern w:val="0"/>
          <w:szCs w:val="21"/>
          <w:u w:val="single"/>
        </w:rPr>
        <w:t>75</w:t>
      </w:r>
      <w:r>
        <w:rPr>
          <w:rFonts w:hint="eastAsia" w:ascii="宋体" w:hAnsi="宋体" w:cs="宋体"/>
          <w:kern w:val="0"/>
          <w:szCs w:val="21"/>
        </w:rPr>
        <w:t>天。</w:t>
      </w:r>
    </w:p>
    <w:p w14:paraId="7B67A81B">
      <w:pPr>
        <w:widowControl/>
        <w:spacing w:line="360" w:lineRule="auto"/>
        <w:ind w:firstLine="480"/>
        <w:jc w:val="left"/>
        <w:rPr>
          <w:rFonts w:ascii="宋体" w:hAnsi="宋体" w:cs="宋体"/>
          <w:kern w:val="0"/>
          <w:szCs w:val="21"/>
        </w:rPr>
      </w:pPr>
      <w:r>
        <w:rPr>
          <w:rFonts w:hint="eastAsia" w:ascii="宋体" w:hAnsi="宋体" w:cs="宋体"/>
          <w:kern w:val="0"/>
          <w:szCs w:val="21"/>
        </w:rPr>
        <w:t>招标工期总日历天数</w:t>
      </w:r>
      <w:r>
        <w:rPr>
          <w:rFonts w:hint="eastAsia" w:ascii="宋体" w:hAnsi="宋体" w:cs="宋体"/>
          <w:kern w:val="0"/>
          <w:szCs w:val="21"/>
          <w:u w:val="single"/>
        </w:rPr>
        <w:t>/</w:t>
      </w:r>
      <w:r>
        <w:rPr>
          <w:rFonts w:hint="eastAsia" w:ascii="宋体" w:hAnsi="宋体" w:cs="宋体"/>
          <w:kern w:val="0"/>
          <w:szCs w:val="21"/>
        </w:rPr>
        <w:t>天。</w:t>
      </w:r>
    </w:p>
    <w:p w14:paraId="7C6DB45D">
      <w:pPr>
        <w:widowControl/>
        <w:spacing w:line="360" w:lineRule="auto"/>
        <w:ind w:firstLine="480"/>
        <w:jc w:val="left"/>
        <w:rPr>
          <w:rFonts w:ascii="宋体" w:hAnsi="宋体" w:cs="宋体"/>
          <w:kern w:val="0"/>
          <w:szCs w:val="21"/>
          <w:u w:val="single"/>
        </w:rPr>
      </w:pPr>
      <w:r>
        <w:rPr>
          <w:rFonts w:hint="eastAsia" w:ascii="宋体" w:hAnsi="宋体" w:cs="宋体"/>
          <w:kern w:val="0"/>
          <w:szCs w:val="21"/>
        </w:rPr>
        <w:t>定额工期总日历天数</w:t>
      </w:r>
      <w:r>
        <w:rPr>
          <w:rFonts w:hint="eastAsia" w:ascii="宋体" w:hAnsi="宋体" w:cs="宋体"/>
          <w:bCs/>
          <w:kern w:val="0"/>
          <w:szCs w:val="21"/>
          <w:u w:val="single"/>
        </w:rPr>
        <w:t xml:space="preserve"> /</w:t>
      </w:r>
      <w:r>
        <w:rPr>
          <w:rFonts w:hint="eastAsia" w:ascii="宋体" w:hAnsi="宋体" w:cs="宋体"/>
          <w:kern w:val="0"/>
          <w:szCs w:val="21"/>
        </w:rPr>
        <w:t>天。</w:t>
      </w:r>
    </w:p>
    <w:p w14:paraId="75E30675">
      <w:pPr>
        <w:widowControl/>
        <w:spacing w:line="360" w:lineRule="auto"/>
        <w:jc w:val="left"/>
        <w:rPr>
          <w:rFonts w:ascii="宋体" w:hAnsi="宋体" w:cs="宋体"/>
          <w:kern w:val="0"/>
          <w:szCs w:val="21"/>
        </w:rPr>
      </w:pPr>
      <w:r>
        <w:rPr>
          <w:rFonts w:hint="eastAsia" w:ascii="宋体" w:hAnsi="宋体" w:cs="宋体"/>
          <w:b/>
          <w:kern w:val="0"/>
          <w:szCs w:val="21"/>
        </w:rPr>
        <w:t>四、质量标准</w:t>
      </w:r>
    </w:p>
    <w:p w14:paraId="559277D5">
      <w:pPr>
        <w:widowControl/>
        <w:spacing w:line="360" w:lineRule="auto"/>
        <w:ind w:firstLine="480"/>
        <w:jc w:val="left"/>
        <w:rPr>
          <w:rFonts w:ascii="宋体" w:hAnsi="宋体" w:cs="宋体"/>
          <w:kern w:val="0"/>
          <w:szCs w:val="21"/>
          <w:u w:val="single"/>
        </w:rPr>
      </w:pPr>
      <w:r>
        <w:rPr>
          <w:rFonts w:hint="eastAsia" w:ascii="宋体" w:hAnsi="宋体" w:cs="宋体"/>
          <w:kern w:val="0"/>
          <w:szCs w:val="21"/>
        </w:rPr>
        <w:t>本工程质量标准：</w:t>
      </w:r>
      <w:r>
        <w:rPr>
          <w:rFonts w:hint="eastAsia" w:ascii="宋体" w:hAnsi="宋体" w:cs="宋体"/>
          <w:bCs/>
          <w:kern w:val="0"/>
          <w:szCs w:val="21"/>
          <w:u w:val="single"/>
        </w:rPr>
        <w:t>合格</w:t>
      </w:r>
    </w:p>
    <w:p w14:paraId="0F6C65CB">
      <w:pPr>
        <w:widowControl/>
        <w:spacing w:line="360" w:lineRule="auto"/>
        <w:jc w:val="left"/>
        <w:rPr>
          <w:rFonts w:ascii="宋体" w:hAnsi="宋体" w:cs="宋体"/>
          <w:kern w:val="0"/>
          <w:szCs w:val="21"/>
        </w:rPr>
      </w:pPr>
      <w:r>
        <w:rPr>
          <w:rFonts w:hint="eastAsia" w:ascii="宋体" w:hAnsi="宋体" w:cs="宋体"/>
          <w:b/>
          <w:kern w:val="0"/>
          <w:szCs w:val="21"/>
        </w:rPr>
        <w:t>五、签约合同价</w:t>
      </w:r>
    </w:p>
    <w:p w14:paraId="324762E7">
      <w:pPr>
        <w:widowControl/>
        <w:spacing w:line="360" w:lineRule="auto"/>
        <w:ind w:firstLine="475"/>
        <w:jc w:val="left"/>
        <w:rPr>
          <w:rFonts w:ascii="宋体" w:hAnsi="宋体" w:cs="宋体"/>
          <w:kern w:val="0"/>
          <w:szCs w:val="21"/>
        </w:rPr>
      </w:pPr>
      <w:r>
        <w:rPr>
          <w:rFonts w:hint="eastAsia" w:ascii="宋体" w:hAnsi="宋体" w:cs="宋体"/>
          <w:kern w:val="0"/>
          <w:szCs w:val="21"/>
        </w:rPr>
        <w:t>人民币（大写）(¥元)；</w:t>
      </w:r>
    </w:p>
    <w:p w14:paraId="3503DDC2">
      <w:pPr>
        <w:widowControl/>
        <w:spacing w:line="360" w:lineRule="auto"/>
        <w:ind w:firstLine="475"/>
        <w:jc w:val="left"/>
        <w:rPr>
          <w:rFonts w:ascii="宋体" w:hAnsi="宋体" w:cs="宋体"/>
          <w:kern w:val="0"/>
          <w:szCs w:val="21"/>
        </w:rPr>
      </w:pPr>
      <w:r>
        <w:rPr>
          <w:rFonts w:hint="eastAsia" w:ascii="宋体" w:hAnsi="宋体" w:cs="宋体"/>
          <w:kern w:val="0"/>
          <w:szCs w:val="21"/>
        </w:rPr>
        <w:t>其中：</w:t>
      </w:r>
    </w:p>
    <w:p w14:paraId="35BB525F">
      <w:pPr>
        <w:widowControl/>
        <w:numPr>
          <w:ilvl w:val="0"/>
          <w:numId w:val="23"/>
        </w:numPr>
        <w:spacing w:line="360" w:lineRule="auto"/>
        <w:jc w:val="left"/>
        <w:rPr>
          <w:rFonts w:ascii="宋体" w:hAnsi="宋体" w:cs="宋体"/>
          <w:kern w:val="0"/>
          <w:szCs w:val="21"/>
        </w:rPr>
      </w:pPr>
      <w:r>
        <w:rPr>
          <w:rFonts w:hint="eastAsia" w:ascii="宋体" w:hAnsi="宋体" w:cs="宋体"/>
          <w:kern w:val="0"/>
          <w:szCs w:val="21"/>
        </w:rPr>
        <w:t>安全文明施工费：</w:t>
      </w:r>
    </w:p>
    <w:p w14:paraId="5F9FBE8D">
      <w:pPr>
        <w:widowControl/>
        <w:spacing w:line="360" w:lineRule="auto"/>
        <w:ind w:firstLine="475"/>
        <w:jc w:val="left"/>
        <w:rPr>
          <w:rFonts w:ascii="宋体" w:hAnsi="宋体" w:cs="宋体"/>
          <w:kern w:val="0"/>
          <w:szCs w:val="21"/>
        </w:rPr>
      </w:pPr>
      <w:r>
        <w:rPr>
          <w:rFonts w:hint="eastAsia" w:ascii="宋体" w:hAnsi="宋体" w:cs="宋体"/>
          <w:kern w:val="0"/>
          <w:szCs w:val="21"/>
        </w:rPr>
        <w:t>人民币（大写）：</w:t>
      </w:r>
      <w:r>
        <w:rPr>
          <w:rFonts w:hint="eastAsia" w:ascii="宋体" w:hAnsi="宋体" w:cs="宋体"/>
          <w:kern w:val="0"/>
          <w:szCs w:val="21"/>
          <w:u w:val="single"/>
        </w:rPr>
        <w:t xml:space="preserve">                          </w:t>
      </w:r>
      <w:r>
        <w:rPr>
          <w:rFonts w:hint="eastAsia" w:ascii="宋体" w:hAnsi="宋体" w:cs="宋体"/>
          <w:kern w:val="0"/>
          <w:szCs w:val="21"/>
        </w:rPr>
        <w:t>；</w:t>
      </w:r>
    </w:p>
    <w:p w14:paraId="30136789">
      <w:pPr>
        <w:widowControl/>
        <w:spacing w:line="360" w:lineRule="auto"/>
        <w:ind w:firstLine="475"/>
        <w:jc w:val="left"/>
        <w:rPr>
          <w:rFonts w:ascii="宋体" w:hAnsi="宋体" w:cs="宋体"/>
          <w:kern w:val="0"/>
          <w:szCs w:val="21"/>
        </w:rPr>
      </w:pPr>
      <w:r>
        <w:rPr>
          <w:rFonts w:hint="eastAsia" w:ascii="宋体" w:hAnsi="宋体" w:cs="宋体"/>
          <w:kern w:val="0"/>
          <w:szCs w:val="21"/>
        </w:rPr>
        <w:t>⑵材料和工程设备暂估价金额：</w:t>
      </w:r>
    </w:p>
    <w:p w14:paraId="74EAE1E1">
      <w:pPr>
        <w:widowControl/>
        <w:spacing w:line="360" w:lineRule="auto"/>
        <w:ind w:firstLine="475"/>
        <w:jc w:val="left"/>
        <w:rPr>
          <w:rFonts w:ascii="宋体" w:hAnsi="宋体" w:cs="宋体"/>
          <w:kern w:val="0"/>
          <w:szCs w:val="21"/>
        </w:rPr>
      </w:pPr>
      <w:r>
        <w:rPr>
          <w:rFonts w:hint="eastAsia" w:ascii="宋体" w:hAnsi="宋体" w:cs="宋体"/>
          <w:kern w:val="0"/>
          <w:szCs w:val="21"/>
        </w:rPr>
        <w:t>人民币（大写）</w:t>
      </w:r>
      <w:r>
        <w:rPr>
          <w:rFonts w:hint="eastAsia" w:ascii="宋体" w:hAnsi="宋体" w:cs="宋体"/>
          <w:kern w:val="0"/>
          <w:szCs w:val="21"/>
          <w:u w:val="single"/>
        </w:rPr>
        <w:t>/</w:t>
      </w:r>
      <w:r>
        <w:rPr>
          <w:rFonts w:hint="eastAsia" w:ascii="宋体" w:hAnsi="宋体" w:cs="宋体"/>
          <w:kern w:val="0"/>
          <w:szCs w:val="21"/>
        </w:rPr>
        <w:t xml:space="preserve"> (¥</w:t>
      </w:r>
      <w:r>
        <w:rPr>
          <w:rFonts w:hint="eastAsia" w:ascii="宋体" w:hAnsi="宋体" w:cs="宋体"/>
          <w:kern w:val="0"/>
          <w:szCs w:val="21"/>
          <w:u w:val="single"/>
        </w:rPr>
        <w:t>/</w:t>
      </w:r>
      <w:r>
        <w:rPr>
          <w:rFonts w:hint="eastAsia" w:ascii="宋体" w:hAnsi="宋体" w:cs="宋体"/>
          <w:kern w:val="0"/>
          <w:szCs w:val="21"/>
        </w:rPr>
        <w:t>元)；</w:t>
      </w:r>
    </w:p>
    <w:p w14:paraId="57D8373F">
      <w:pPr>
        <w:widowControl/>
        <w:spacing w:line="360" w:lineRule="auto"/>
        <w:ind w:firstLine="475"/>
        <w:jc w:val="left"/>
        <w:rPr>
          <w:rFonts w:ascii="宋体" w:hAnsi="宋体" w:cs="宋体"/>
          <w:kern w:val="0"/>
          <w:szCs w:val="21"/>
        </w:rPr>
      </w:pPr>
      <w:r>
        <w:rPr>
          <w:rFonts w:hint="eastAsia" w:ascii="宋体" w:hAnsi="宋体" w:cs="宋体"/>
          <w:kern w:val="0"/>
          <w:szCs w:val="21"/>
        </w:rPr>
        <w:t>⑶专业工程暂估价金额：</w:t>
      </w:r>
    </w:p>
    <w:p w14:paraId="2F80A699">
      <w:pPr>
        <w:widowControl/>
        <w:spacing w:line="360" w:lineRule="auto"/>
        <w:ind w:firstLine="475"/>
        <w:jc w:val="left"/>
        <w:rPr>
          <w:rFonts w:ascii="宋体" w:hAnsi="宋体" w:cs="宋体"/>
          <w:kern w:val="0"/>
          <w:szCs w:val="21"/>
        </w:rPr>
      </w:pPr>
      <w:r>
        <w:rPr>
          <w:rFonts w:hint="eastAsia" w:ascii="宋体" w:hAnsi="宋体" w:cs="宋体"/>
          <w:kern w:val="0"/>
          <w:szCs w:val="21"/>
        </w:rPr>
        <w:t>人民币（大写）</w:t>
      </w:r>
      <w:r>
        <w:rPr>
          <w:rFonts w:hint="eastAsia" w:ascii="宋体" w:hAnsi="宋体" w:cs="宋体"/>
          <w:kern w:val="0"/>
          <w:szCs w:val="21"/>
          <w:u w:val="single"/>
        </w:rPr>
        <w:t xml:space="preserve">            /   </w:t>
      </w:r>
      <w:r>
        <w:rPr>
          <w:rFonts w:hint="eastAsia" w:ascii="宋体" w:hAnsi="宋体" w:cs="宋体"/>
          <w:kern w:val="0"/>
          <w:szCs w:val="21"/>
        </w:rPr>
        <w:t xml:space="preserve"> (¥</w:t>
      </w:r>
      <w:r>
        <w:rPr>
          <w:rFonts w:hint="eastAsia" w:ascii="宋体" w:hAnsi="宋体" w:cs="宋体"/>
          <w:kern w:val="0"/>
          <w:szCs w:val="21"/>
          <w:u w:val="single"/>
        </w:rPr>
        <w:t xml:space="preserve">         /       </w:t>
      </w:r>
      <w:r>
        <w:rPr>
          <w:rFonts w:hint="eastAsia" w:ascii="宋体" w:hAnsi="宋体" w:cs="宋体"/>
          <w:kern w:val="0"/>
          <w:szCs w:val="21"/>
        </w:rPr>
        <w:t>元)；</w:t>
      </w:r>
    </w:p>
    <w:p w14:paraId="15730DBC">
      <w:pPr>
        <w:widowControl/>
        <w:spacing w:line="360" w:lineRule="auto"/>
        <w:ind w:firstLine="475"/>
        <w:jc w:val="left"/>
        <w:rPr>
          <w:rFonts w:ascii="宋体" w:hAnsi="宋体" w:cs="宋体"/>
          <w:kern w:val="0"/>
          <w:szCs w:val="21"/>
        </w:rPr>
      </w:pPr>
      <w:r>
        <w:rPr>
          <w:rFonts w:hint="eastAsia" w:ascii="宋体" w:hAnsi="宋体" w:cs="宋体"/>
          <w:kern w:val="0"/>
          <w:szCs w:val="21"/>
        </w:rPr>
        <w:t>⑷暂列金额：</w:t>
      </w:r>
    </w:p>
    <w:p w14:paraId="4B1EE875">
      <w:pPr>
        <w:widowControl/>
        <w:spacing w:line="360" w:lineRule="auto"/>
        <w:ind w:firstLine="475"/>
        <w:jc w:val="left"/>
        <w:rPr>
          <w:rFonts w:ascii="宋体" w:hAnsi="宋体" w:cs="宋体"/>
          <w:kern w:val="0"/>
          <w:szCs w:val="21"/>
        </w:rPr>
      </w:pPr>
      <w:r>
        <w:rPr>
          <w:rFonts w:hint="eastAsia" w:ascii="宋体" w:hAnsi="宋体" w:cs="宋体"/>
          <w:kern w:val="0"/>
          <w:szCs w:val="21"/>
        </w:rPr>
        <w:t>人民币（大写）：            (¥   元)。</w:t>
      </w:r>
    </w:p>
    <w:p w14:paraId="6F58A5C1">
      <w:pPr>
        <w:widowControl/>
        <w:spacing w:line="360" w:lineRule="auto"/>
        <w:jc w:val="left"/>
        <w:rPr>
          <w:rFonts w:ascii="宋体" w:hAnsi="宋体" w:cs="宋体"/>
          <w:kern w:val="0"/>
          <w:szCs w:val="21"/>
        </w:rPr>
      </w:pPr>
      <w:r>
        <w:rPr>
          <w:rFonts w:hint="eastAsia" w:ascii="宋体" w:hAnsi="宋体" w:cs="宋体"/>
          <w:b/>
          <w:kern w:val="0"/>
          <w:szCs w:val="21"/>
        </w:rPr>
        <w:t>六、合同订立与生效</w:t>
      </w:r>
    </w:p>
    <w:p w14:paraId="5F045AC8">
      <w:pPr>
        <w:widowControl/>
        <w:spacing w:line="360" w:lineRule="auto"/>
        <w:ind w:firstLine="480"/>
        <w:jc w:val="left"/>
        <w:rPr>
          <w:rFonts w:ascii="宋体" w:hAnsi="宋体" w:cs="宋体"/>
          <w:kern w:val="0"/>
          <w:szCs w:val="21"/>
        </w:rPr>
      </w:pPr>
      <w:r>
        <w:rPr>
          <w:rFonts w:hint="eastAsia" w:ascii="宋体" w:hAnsi="宋体" w:cs="宋体"/>
          <w:kern w:val="0"/>
          <w:szCs w:val="21"/>
        </w:rPr>
        <w:t>本合同订立时间：年   月    日；</w:t>
      </w:r>
    </w:p>
    <w:p w14:paraId="7D4D7316">
      <w:pPr>
        <w:widowControl/>
        <w:spacing w:line="360" w:lineRule="auto"/>
        <w:ind w:firstLine="1050" w:firstLineChars="500"/>
        <w:jc w:val="left"/>
        <w:rPr>
          <w:rFonts w:ascii="宋体" w:hAnsi="宋体" w:cs="宋体"/>
          <w:kern w:val="0"/>
          <w:szCs w:val="21"/>
        </w:rPr>
      </w:pPr>
      <w:r>
        <w:rPr>
          <w:rFonts w:hint="eastAsia" w:ascii="宋体" w:hAnsi="宋体" w:cs="宋体"/>
          <w:kern w:val="0"/>
          <w:szCs w:val="21"/>
        </w:rPr>
        <w:t>订立地点：</w:t>
      </w:r>
      <w:r>
        <w:rPr>
          <w:rFonts w:hint="eastAsia" w:ascii="宋体" w:hAnsi="宋体" w:cs="宋体"/>
          <w:kern w:val="0"/>
          <w:szCs w:val="21"/>
          <w:u w:val="single"/>
        </w:rPr>
        <w:t>深圳市</w:t>
      </w:r>
    </w:p>
    <w:p w14:paraId="655F5D1B">
      <w:pPr>
        <w:widowControl/>
        <w:spacing w:line="360" w:lineRule="auto"/>
        <w:ind w:firstLine="480"/>
        <w:jc w:val="left"/>
        <w:rPr>
          <w:rFonts w:ascii="宋体" w:hAnsi="宋体" w:cs="宋体"/>
          <w:kern w:val="0"/>
          <w:szCs w:val="21"/>
        </w:rPr>
      </w:pPr>
      <w:r>
        <w:rPr>
          <w:rFonts w:hint="eastAsia" w:ascii="宋体" w:hAnsi="宋体" w:cs="宋体"/>
          <w:kern w:val="0"/>
          <w:szCs w:val="21"/>
        </w:rPr>
        <w:t>发包人和承包人约定本合同自</w:t>
      </w:r>
      <w:r>
        <w:rPr>
          <w:rFonts w:hint="eastAsia" w:ascii="宋体" w:hAnsi="宋体" w:cs="宋体"/>
          <w:kern w:val="0"/>
          <w:szCs w:val="21"/>
          <w:u w:val="single"/>
        </w:rPr>
        <w:t>双方签字盖章</w:t>
      </w:r>
      <w:r>
        <w:rPr>
          <w:rFonts w:hint="eastAsia" w:ascii="宋体" w:hAnsi="宋体" w:cs="宋体"/>
          <w:kern w:val="0"/>
          <w:szCs w:val="21"/>
        </w:rPr>
        <w:t>后成立。</w:t>
      </w:r>
    </w:p>
    <w:p w14:paraId="66B2CC71">
      <w:pPr>
        <w:widowControl/>
        <w:spacing w:line="360" w:lineRule="auto"/>
        <w:ind w:firstLine="480"/>
        <w:jc w:val="left"/>
        <w:rPr>
          <w:rFonts w:ascii="宋体" w:hAnsi="宋体" w:cs="宋体"/>
          <w:kern w:val="0"/>
          <w:szCs w:val="21"/>
        </w:rPr>
      </w:pPr>
      <w:r>
        <w:rPr>
          <w:rFonts w:hint="eastAsia" w:ascii="宋体" w:hAnsi="宋体" w:cs="宋体"/>
          <w:bCs/>
          <w:kern w:val="0"/>
          <w:szCs w:val="21"/>
        </w:rPr>
        <w:t>本合同一式</w:t>
      </w:r>
      <w:r>
        <w:rPr>
          <w:rFonts w:hint="eastAsia" w:ascii="宋体" w:hAnsi="宋体" w:cs="宋体"/>
          <w:bCs/>
          <w:kern w:val="0"/>
          <w:szCs w:val="21"/>
          <w:u w:val="single"/>
        </w:rPr>
        <w:t>6</w:t>
      </w:r>
      <w:r>
        <w:rPr>
          <w:rFonts w:hint="eastAsia" w:ascii="宋体" w:hAnsi="宋体" w:cs="宋体"/>
          <w:bCs/>
          <w:kern w:val="0"/>
          <w:szCs w:val="21"/>
        </w:rPr>
        <w:t>份，均具有同等法律效力，发包人执4份，承包人执2份。</w:t>
      </w:r>
    </w:p>
    <w:tbl>
      <w:tblPr>
        <w:tblStyle w:val="50"/>
        <w:tblpPr w:leftFromText="180" w:rightFromText="180" w:vertAnchor="text" w:horzAnchor="margin" w:tblpY="238"/>
        <w:tblW w:w="5000" w:type="pct"/>
        <w:tblInd w:w="0" w:type="dxa"/>
        <w:tblLayout w:type="fixed"/>
        <w:tblCellMar>
          <w:top w:w="0" w:type="dxa"/>
          <w:left w:w="108" w:type="dxa"/>
          <w:bottom w:w="0" w:type="dxa"/>
          <w:right w:w="108" w:type="dxa"/>
        </w:tblCellMar>
      </w:tblPr>
      <w:tblGrid>
        <w:gridCol w:w="4878"/>
        <w:gridCol w:w="4878"/>
      </w:tblGrid>
      <w:tr w14:paraId="08D240AD">
        <w:trPr>
          <w:trHeight w:val="454" w:hRule="atLeast"/>
        </w:trPr>
        <w:tc>
          <w:tcPr>
            <w:tcW w:w="2500" w:type="pct"/>
            <w:shd w:val="clear" w:color="auto" w:fill="auto"/>
            <w:vAlign w:val="center"/>
          </w:tcPr>
          <w:p w14:paraId="5E1B0A0F">
            <w:pPr>
              <w:widowControl/>
              <w:spacing w:line="360" w:lineRule="auto"/>
              <w:jc w:val="left"/>
              <w:rPr>
                <w:rFonts w:ascii="宋体" w:hAnsi="宋体" w:cs="宋体"/>
                <w:b/>
                <w:kern w:val="0"/>
                <w:szCs w:val="21"/>
              </w:rPr>
            </w:pPr>
          </w:p>
          <w:p w14:paraId="1FDEE039">
            <w:pPr>
              <w:widowControl/>
              <w:spacing w:line="360" w:lineRule="auto"/>
              <w:jc w:val="left"/>
              <w:rPr>
                <w:rFonts w:ascii="宋体" w:hAnsi="宋体" w:cs="宋体"/>
                <w:b/>
                <w:kern w:val="0"/>
                <w:szCs w:val="21"/>
              </w:rPr>
            </w:pPr>
          </w:p>
          <w:p w14:paraId="484F783A">
            <w:pPr>
              <w:widowControl/>
              <w:spacing w:line="360" w:lineRule="auto"/>
              <w:jc w:val="left"/>
              <w:rPr>
                <w:rFonts w:ascii="宋体" w:hAnsi="宋体" w:cs="宋体"/>
                <w:b/>
                <w:kern w:val="0"/>
                <w:szCs w:val="21"/>
              </w:rPr>
            </w:pPr>
          </w:p>
          <w:p w14:paraId="7DE2F7F5">
            <w:pPr>
              <w:widowControl/>
              <w:spacing w:line="360" w:lineRule="auto"/>
              <w:jc w:val="left"/>
              <w:rPr>
                <w:rFonts w:ascii="宋体" w:hAnsi="宋体" w:cs="宋体"/>
                <w:b/>
                <w:kern w:val="0"/>
                <w:szCs w:val="21"/>
              </w:rPr>
            </w:pPr>
          </w:p>
          <w:p w14:paraId="75DE7B20">
            <w:pPr>
              <w:widowControl/>
              <w:spacing w:line="360" w:lineRule="auto"/>
              <w:jc w:val="left"/>
              <w:rPr>
                <w:rFonts w:ascii="宋体" w:hAnsi="宋体" w:cs="宋体"/>
                <w:bCs/>
                <w:kern w:val="0"/>
                <w:szCs w:val="21"/>
              </w:rPr>
            </w:pPr>
            <w:r>
              <w:rPr>
                <w:rFonts w:hint="eastAsia" w:ascii="宋体" w:hAnsi="宋体" w:cs="宋体"/>
                <w:b/>
                <w:kern w:val="0"/>
                <w:szCs w:val="21"/>
              </w:rPr>
              <w:t>发包人：</w:t>
            </w:r>
            <w:r>
              <w:rPr>
                <w:rFonts w:hint="eastAsia" w:ascii="宋体" w:hAnsi="宋体" w:cs="宋体"/>
                <w:kern w:val="0"/>
                <w:szCs w:val="21"/>
              </w:rPr>
              <w:t>(公章)</w:t>
            </w:r>
          </w:p>
        </w:tc>
        <w:tc>
          <w:tcPr>
            <w:tcW w:w="2500" w:type="pct"/>
            <w:shd w:val="clear" w:color="auto" w:fill="auto"/>
            <w:vAlign w:val="center"/>
          </w:tcPr>
          <w:p w14:paraId="0C578844">
            <w:pPr>
              <w:widowControl/>
              <w:spacing w:line="360" w:lineRule="auto"/>
              <w:jc w:val="left"/>
              <w:rPr>
                <w:rFonts w:ascii="宋体" w:hAnsi="宋体" w:cs="宋体"/>
                <w:b/>
                <w:kern w:val="0"/>
                <w:szCs w:val="21"/>
              </w:rPr>
            </w:pPr>
          </w:p>
          <w:p w14:paraId="4B49789F">
            <w:pPr>
              <w:widowControl/>
              <w:spacing w:line="360" w:lineRule="auto"/>
              <w:jc w:val="left"/>
              <w:rPr>
                <w:rFonts w:ascii="宋体" w:hAnsi="宋体" w:cs="宋体"/>
                <w:b/>
                <w:kern w:val="0"/>
                <w:szCs w:val="21"/>
              </w:rPr>
            </w:pPr>
          </w:p>
          <w:p w14:paraId="67467E0C">
            <w:pPr>
              <w:widowControl/>
              <w:spacing w:line="360" w:lineRule="auto"/>
              <w:jc w:val="left"/>
              <w:rPr>
                <w:rFonts w:ascii="宋体" w:hAnsi="宋体" w:cs="宋体"/>
                <w:b/>
                <w:kern w:val="0"/>
                <w:szCs w:val="21"/>
              </w:rPr>
            </w:pPr>
          </w:p>
          <w:p w14:paraId="7A29B187">
            <w:pPr>
              <w:widowControl/>
              <w:spacing w:line="360" w:lineRule="auto"/>
              <w:jc w:val="left"/>
              <w:rPr>
                <w:rFonts w:ascii="宋体" w:hAnsi="宋体" w:cs="宋体"/>
                <w:b/>
                <w:kern w:val="0"/>
                <w:szCs w:val="21"/>
              </w:rPr>
            </w:pPr>
          </w:p>
          <w:p w14:paraId="0C647F73">
            <w:pPr>
              <w:widowControl/>
              <w:spacing w:line="360" w:lineRule="auto"/>
              <w:jc w:val="left"/>
              <w:rPr>
                <w:rFonts w:ascii="宋体" w:hAnsi="宋体" w:cs="宋体"/>
                <w:kern w:val="0"/>
                <w:szCs w:val="21"/>
              </w:rPr>
            </w:pPr>
            <w:r>
              <w:rPr>
                <w:rFonts w:hint="eastAsia" w:ascii="宋体" w:hAnsi="宋体" w:cs="宋体"/>
                <w:b/>
                <w:kern w:val="0"/>
                <w:szCs w:val="21"/>
              </w:rPr>
              <w:t>承包人：</w:t>
            </w:r>
            <w:r>
              <w:rPr>
                <w:rFonts w:hint="eastAsia" w:ascii="宋体" w:hAnsi="宋体" w:cs="宋体"/>
                <w:kern w:val="0"/>
                <w:szCs w:val="21"/>
              </w:rPr>
              <w:t>(公章)</w:t>
            </w:r>
          </w:p>
        </w:tc>
      </w:tr>
      <w:tr w14:paraId="3829188E">
        <w:tblPrEx>
          <w:tblCellMar>
            <w:top w:w="0" w:type="dxa"/>
            <w:left w:w="108" w:type="dxa"/>
            <w:bottom w:w="0" w:type="dxa"/>
            <w:right w:w="108" w:type="dxa"/>
          </w:tblCellMar>
        </w:tblPrEx>
        <w:trPr>
          <w:trHeight w:val="454" w:hRule="atLeast"/>
        </w:trPr>
        <w:tc>
          <w:tcPr>
            <w:tcW w:w="2500" w:type="pct"/>
            <w:shd w:val="clear" w:color="auto" w:fill="auto"/>
            <w:vAlign w:val="center"/>
          </w:tcPr>
          <w:p w14:paraId="4243C12A">
            <w:pPr>
              <w:widowControl/>
              <w:spacing w:line="360" w:lineRule="auto"/>
              <w:jc w:val="left"/>
              <w:rPr>
                <w:rFonts w:ascii="宋体" w:hAnsi="宋体" w:cs="宋体"/>
                <w:kern w:val="0"/>
                <w:szCs w:val="21"/>
              </w:rPr>
            </w:pPr>
            <w:r>
              <w:rPr>
                <w:rFonts w:hint="eastAsia" w:ascii="宋体" w:hAnsi="宋体" w:cs="宋体"/>
                <w:b/>
                <w:kern w:val="0"/>
                <w:szCs w:val="21"/>
              </w:rPr>
              <w:t>法定代表人或其委托代理人：</w:t>
            </w:r>
          </w:p>
          <w:p w14:paraId="7FACB5C8">
            <w:pPr>
              <w:widowControl/>
              <w:spacing w:line="360" w:lineRule="auto"/>
              <w:jc w:val="left"/>
              <w:rPr>
                <w:rFonts w:ascii="宋体" w:hAnsi="宋体" w:cs="宋体"/>
                <w:bCs/>
                <w:kern w:val="0"/>
                <w:szCs w:val="21"/>
              </w:rPr>
            </w:pPr>
            <w:r>
              <w:rPr>
                <w:rFonts w:hint="eastAsia" w:ascii="宋体" w:hAnsi="宋体" w:cs="宋体"/>
                <w:kern w:val="0"/>
                <w:szCs w:val="21"/>
              </w:rPr>
              <w:t>（签字）</w:t>
            </w:r>
          </w:p>
        </w:tc>
        <w:tc>
          <w:tcPr>
            <w:tcW w:w="2500" w:type="pct"/>
            <w:shd w:val="clear" w:color="auto" w:fill="auto"/>
            <w:vAlign w:val="center"/>
          </w:tcPr>
          <w:p w14:paraId="252493F0">
            <w:pPr>
              <w:widowControl/>
              <w:spacing w:line="360" w:lineRule="auto"/>
              <w:jc w:val="left"/>
              <w:rPr>
                <w:rFonts w:ascii="宋体" w:hAnsi="宋体" w:cs="宋体"/>
                <w:kern w:val="0"/>
                <w:szCs w:val="21"/>
              </w:rPr>
            </w:pPr>
            <w:r>
              <w:rPr>
                <w:rFonts w:hint="eastAsia" w:ascii="宋体" w:hAnsi="宋体" w:cs="宋体"/>
                <w:b/>
                <w:kern w:val="0"/>
                <w:szCs w:val="21"/>
              </w:rPr>
              <w:t>法定代表人或其委托代理人：</w:t>
            </w:r>
          </w:p>
          <w:p w14:paraId="347DADD5">
            <w:pPr>
              <w:widowControl/>
              <w:spacing w:line="360" w:lineRule="auto"/>
              <w:jc w:val="left"/>
              <w:rPr>
                <w:rFonts w:ascii="宋体" w:hAnsi="宋体" w:cs="宋体"/>
                <w:bCs/>
                <w:kern w:val="0"/>
                <w:szCs w:val="21"/>
              </w:rPr>
            </w:pPr>
            <w:r>
              <w:rPr>
                <w:rFonts w:hint="eastAsia" w:ascii="宋体" w:hAnsi="宋体" w:cs="宋体"/>
                <w:kern w:val="0"/>
                <w:szCs w:val="21"/>
              </w:rPr>
              <w:t>（签字）</w:t>
            </w:r>
          </w:p>
        </w:tc>
      </w:tr>
      <w:tr w14:paraId="3B8FD4C9">
        <w:tblPrEx>
          <w:tblCellMar>
            <w:top w:w="0" w:type="dxa"/>
            <w:left w:w="108" w:type="dxa"/>
            <w:bottom w:w="0" w:type="dxa"/>
            <w:right w:w="108" w:type="dxa"/>
          </w:tblCellMar>
        </w:tblPrEx>
        <w:trPr>
          <w:trHeight w:val="454" w:hRule="atLeast"/>
        </w:trPr>
        <w:tc>
          <w:tcPr>
            <w:tcW w:w="2500" w:type="pct"/>
            <w:shd w:val="clear" w:color="auto" w:fill="auto"/>
            <w:vAlign w:val="center"/>
          </w:tcPr>
          <w:p w14:paraId="59F61915">
            <w:pPr>
              <w:widowControl/>
              <w:spacing w:line="360" w:lineRule="auto"/>
              <w:jc w:val="left"/>
              <w:rPr>
                <w:rFonts w:ascii="宋体" w:hAnsi="宋体" w:cs="宋体"/>
                <w:bCs/>
                <w:kern w:val="0"/>
                <w:szCs w:val="21"/>
              </w:rPr>
            </w:pPr>
            <w:r>
              <w:rPr>
                <w:rFonts w:hint="eastAsia" w:ascii="宋体" w:hAnsi="宋体" w:cs="宋体"/>
                <w:b/>
                <w:kern w:val="0"/>
                <w:szCs w:val="21"/>
              </w:rPr>
              <w:t>组织机构代码：</w:t>
            </w:r>
          </w:p>
        </w:tc>
        <w:tc>
          <w:tcPr>
            <w:tcW w:w="2500" w:type="pct"/>
            <w:shd w:val="clear" w:color="auto" w:fill="auto"/>
            <w:vAlign w:val="center"/>
          </w:tcPr>
          <w:p w14:paraId="6AFA8712">
            <w:pPr>
              <w:widowControl/>
              <w:spacing w:line="360" w:lineRule="auto"/>
              <w:jc w:val="left"/>
              <w:rPr>
                <w:rFonts w:ascii="宋体" w:hAnsi="宋体" w:cs="宋体"/>
                <w:bCs/>
                <w:kern w:val="0"/>
                <w:szCs w:val="21"/>
              </w:rPr>
            </w:pPr>
            <w:r>
              <w:rPr>
                <w:rFonts w:hint="eastAsia" w:ascii="宋体" w:hAnsi="宋体" w:cs="宋体"/>
                <w:b/>
                <w:kern w:val="0"/>
                <w:szCs w:val="21"/>
              </w:rPr>
              <w:t>组织机构代码：</w:t>
            </w:r>
          </w:p>
        </w:tc>
      </w:tr>
      <w:tr w14:paraId="34D7C6C8">
        <w:tblPrEx>
          <w:tblCellMar>
            <w:top w:w="0" w:type="dxa"/>
            <w:left w:w="108" w:type="dxa"/>
            <w:bottom w:w="0" w:type="dxa"/>
            <w:right w:w="108" w:type="dxa"/>
          </w:tblCellMar>
        </w:tblPrEx>
        <w:trPr>
          <w:trHeight w:val="454" w:hRule="atLeast"/>
        </w:trPr>
        <w:tc>
          <w:tcPr>
            <w:tcW w:w="2500" w:type="pct"/>
            <w:shd w:val="clear" w:color="auto" w:fill="auto"/>
            <w:vAlign w:val="center"/>
          </w:tcPr>
          <w:p w14:paraId="376B2DA6">
            <w:pPr>
              <w:widowControl/>
              <w:spacing w:line="360" w:lineRule="auto"/>
              <w:jc w:val="left"/>
              <w:rPr>
                <w:rFonts w:ascii="宋体" w:hAnsi="宋体" w:cs="宋体"/>
                <w:bCs/>
                <w:kern w:val="0"/>
                <w:szCs w:val="21"/>
              </w:rPr>
            </w:pPr>
            <w:r>
              <w:rPr>
                <w:rFonts w:hint="eastAsia" w:ascii="宋体" w:hAnsi="宋体" w:cs="宋体"/>
                <w:b/>
                <w:kern w:val="0"/>
                <w:szCs w:val="21"/>
              </w:rPr>
              <w:t>地址：</w:t>
            </w:r>
          </w:p>
        </w:tc>
        <w:tc>
          <w:tcPr>
            <w:tcW w:w="2500" w:type="pct"/>
            <w:shd w:val="clear" w:color="auto" w:fill="auto"/>
            <w:vAlign w:val="center"/>
          </w:tcPr>
          <w:p w14:paraId="0C56CC30">
            <w:pPr>
              <w:widowControl/>
              <w:spacing w:line="360" w:lineRule="auto"/>
              <w:jc w:val="left"/>
              <w:rPr>
                <w:rFonts w:ascii="宋体" w:hAnsi="宋体" w:cs="宋体"/>
                <w:bCs/>
                <w:kern w:val="0"/>
                <w:szCs w:val="21"/>
              </w:rPr>
            </w:pPr>
            <w:r>
              <w:rPr>
                <w:rFonts w:hint="eastAsia" w:ascii="宋体" w:hAnsi="宋体" w:cs="宋体"/>
                <w:b/>
                <w:kern w:val="0"/>
                <w:szCs w:val="21"/>
              </w:rPr>
              <w:t>地址：</w:t>
            </w:r>
          </w:p>
        </w:tc>
      </w:tr>
      <w:tr w14:paraId="17DE5CE7">
        <w:tblPrEx>
          <w:tblCellMar>
            <w:top w:w="0" w:type="dxa"/>
            <w:left w:w="108" w:type="dxa"/>
            <w:bottom w:w="0" w:type="dxa"/>
            <w:right w:w="108" w:type="dxa"/>
          </w:tblCellMar>
        </w:tblPrEx>
        <w:trPr>
          <w:trHeight w:val="454" w:hRule="atLeast"/>
        </w:trPr>
        <w:tc>
          <w:tcPr>
            <w:tcW w:w="2500" w:type="pct"/>
            <w:shd w:val="clear" w:color="auto" w:fill="auto"/>
            <w:vAlign w:val="center"/>
          </w:tcPr>
          <w:p w14:paraId="03891D1F">
            <w:pPr>
              <w:widowControl/>
              <w:spacing w:line="360" w:lineRule="auto"/>
              <w:jc w:val="left"/>
              <w:rPr>
                <w:rFonts w:ascii="宋体" w:hAnsi="宋体" w:cs="宋体"/>
                <w:bCs/>
                <w:kern w:val="0"/>
                <w:szCs w:val="21"/>
              </w:rPr>
            </w:pPr>
            <w:r>
              <w:rPr>
                <w:rFonts w:hint="eastAsia" w:ascii="宋体" w:hAnsi="宋体" w:cs="宋体"/>
                <w:b/>
                <w:kern w:val="0"/>
                <w:szCs w:val="21"/>
              </w:rPr>
              <w:t>邮政编码：</w:t>
            </w:r>
          </w:p>
        </w:tc>
        <w:tc>
          <w:tcPr>
            <w:tcW w:w="2500" w:type="pct"/>
            <w:shd w:val="clear" w:color="auto" w:fill="auto"/>
            <w:vAlign w:val="center"/>
          </w:tcPr>
          <w:p w14:paraId="5131099B">
            <w:pPr>
              <w:widowControl/>
              <w:spacing w:line="360" w:lineRule="auto"/>
              <w:jc w:val="left"/>
              <w:rPr>
                <w:rFonts w:ascii="宋体" w:hAnsi="宋体" w:cs="宋体"/>
                <w:bCs/>
                <w:kern w:val="0"/>
                <w:szCs w:val="21"/>
              </w:rPr>
            </w:pPr>
            <w:r>
              <w:rPr>
                <w:rFonts w:hint="eastAsia" w:ascii="宋体" w:hAnsi="宋体" w:cs="宋体"/>
                <w:b/>
                <w:kern w:val="0"/>
                <w:szCs w:val="21"/>
              </w:rPr>
              <w:t>邮政编码：</w:t>
            </w:r>
          </w:p>
        </w:tc>
      </w:tr>
      <w:tr w14:paraId="32004CCF">
        <w:tblPrEx>
          <w:tblCellMar>
            <w:top w:w="0" w:type="dxa"/>
            <w:left w:w="108" w:type="dxa"/>
            <w:bottom w:w="0" w:type="dxa"/>
            <w:right w:w="108" w:type="dxa"/>
          </w:tblCellMar>
        </w:tblPrEx>
        <w:trPr>
          <w:trHeight w:val="454" w:hRule="atLeast"/>
        </w:trPr>
        <w:tc>
          <w:tcPr>
            <w:tcW w:w="2500" w:type="pct"/>
            <w:shd w:val="clear" w:color="auto" w:fill="auto"/>
            <w:vAlign w:val="center"/>
          </w:tcPr>
          <w:p w14:paraId="610033D4">
            <w:pPr>
              <w:widowControl/>
              <w:spacing w:line="360" w:lineRule="auto"/>
              <w:jc w:val="left"/>
              <w:rPr>
                <w:rFonts w:ascii="宋体" w:hAnsi="宋体" w:cs="宋体"/>
                <w:bCs/>
                <w:kern w:val="0"/>
                <w:szCs w:val="21"/>
              </w:rPr>
            </w:pPr>
            <w:r>
              <w:rPr>
                <w:rFonts w:hint="eastAsia" w:ascii="宋体" w:hAnsi="宋体" w:cs="宋体"/>
                <w:b/>
                <w:kern w:val="0"/>
                <w:szCs w:val="21"/>
              </w:rPr>
              <w:t>法定代表人：</w:t>
            </w:r>
          </w:p>
        </w:tc>
        <w:tc>
          <w:tcPr>
            <w:tcW w:w="2500" w:type="pct"/>
            <w:shd w:val="clear" w:color="auto" w:fill="auto"/>
            <w:vAlign w:val="center"/>
          </w:tcPr>
          <w:p w14:paraId="5BFBA6EE">
            <w:pPr>
              <w:widowControl/>
              <w:spacing w:line="360" w:lineRule="auto"/>
              <w:jc w:val="left"/>
              <w:rPr>
                <w:rFonts w:ascii="宋体" w:hAnsi="宋体" w:cs="宋体"/>
                <w:bCs/>
                <w:kern w:val="0"/>
                <w:szCs w:val="21"/>
              </w:rPr>
            </w:pPr>
            <w:r>
              <w:rPr>
                <w:rFonts w:hint="eastAsia" w:ascii="宋体" w:hAnsi="宋体" w:cs="宋体"/>
                <w:b/>
                <w:kern w:val="0"/>
                <w:szCs w:val="21"/>
              </w:rPr>
              <w:t>法定代表人：</w:t>
            </w:r>
          </w:p>
        </w:tc>
      </w:tr>
      <w:tr w14:paraId="3E444163">
        <w:tblPrEx>
          <w:tblCellMar>
            <w:top w:w="0" w:type="dxa"/>
            <w:left w:w="108" w:type="dxa"/>
            <w:bottom w:w="0" w:type="dxa"/>
            <w:right w:w="108" w:type="dxa"/>
          </w:tblCellMar>
        </w:tblPrEx>
        <w:trPr>
          <w:trHeight w:val="454" w:hRule="atLeast"/>
        </w:trPr>
        <w:tc>
          <w:tcPr>
            <w:tcW w:w="2500" w:type="pct"/>
            <w:shd w:val="clear" w:color="auto" w:fill="auto"/>
            <w:vAlign w:val="center"/>
          </w:tcPr>
          <w:p w14:paraId="7E09004F">
            <w:pPr>
              <w:widowControl/>
              <w:spacing w:line="360" w:lineRule="auto"/>
              <w:jc w:val="left"/>
              <w:rPr>
                <w:rFonts w:ascii="宋体" w:hAnsi="宋体" w:cs="宋体"/>
                <w:bCs/>
                <w:kern w:val="0"/>
                <w:szCs w:val="21"/>
              </w:rPr>
            </w:pPr>
            <w:r>
              <w:rPr>
                <w:rFonts w:hint="eastAsia" w:ascii="宋体" w:hAnsi="宋体" w:cs="宋体"/>
                <w:b/>
                <w:kern w:val="0"/>
                <w:szCs w:val="21"/>
              </w:rPr>
              <w:t>委托代理人：</w:t>
            </w:r>
          </w:p>
        </w:tc>
        <w:tc>
          <w:tcPr>
            <w:tcW w:w="2500" w:type="pct"/>
            <w:shd w:val="clear" w:color="auto" w:fill="auto"/>
            <w:vAlign w:val="center"/>
          </w:tcPr>
          <w:p w14:paraId="623AD3E9">
            <w:pPr>
              <w:widowControl/>
              <w:spacing w:line="360" w:lineRule="auto"/>
              <w:jc w:val="left"/>
              <w:rPr>
                <w:rFonts w:ascii="宋体" w:hAnsi="宋体" w:cs="宋体"/>
                <w:bCs/>
                <w:kern w:val="0"/>
                <w:szCs w:val="21"/>
              </w:rPr>
            </w:pPr>
            <w:r>
              <w:rPr>
                <w:rFonts w:hint="eastAsia" w:ascii="宋体" w:hAnsi="宋体" w:cs="宋体"/>
                <w:b/>
                <w:kern w:val="0"/>
                <w:szCs w:val="21"/>
              </w:rPr>
              <w:t>委托代理人：</w:t>
            </w:r>
          </w:p>
        </w:tc>
      </w:tr>
      <w:tr w14:paraId="5B369385">
        <w:tblPrEx>
          <w:tblCellMar>
            <w:top w:w="0" w:type="dxa"/>
            <w:left w:w="108" w:type="dxa"/>
            <w:bottom w:w="0" w:type="dxa"/>
            <w:right w:w="108" w:type="dxa"/>
          </w:tblCellMar>
        </w:tblPrEx>
        <w:trPr>
          <w:trHeight w:val="454" w:hRule="atLeast"/>
        </w:trPr>
        <w:tc>
          <w:tcPr>
            <w:tcW w:w="2500" w:type="pct"/>
            <w:shd w:val="clear" w:color="auto" w:fill="auto"/>
            <w:vAlign w:val="center"/>
          </w:tcPr>
          <w:p w14:paraId="4C87F34D">
            <w:pPr>
              <w:widowControl/>
              <w:spacing w:line="360" w:lineRule="auto"/>
              <w:jc w:val="left"/>
              <w:rPr>
                <w:rFonts w:ascii="宋体" w:hAnsi="宋体" w:cs="宋体"/>
                <w:bCs/>
                <w:kern w:val="0"/>
                <w:szCs w:val="21"/>
              </w:rPr>
            </w:pPr>
            <w:r>
              <w:rPr>
                <w:rFonts w:hint="eastAsia" w:ascii="宋体" w:hAnsi="宋体" w:cs="宋体"/>
                <w:b/>
                <w:kern w:val="0"/>
                <w:szCs w:val="21"/>
              </w:rPr>
              <w:t>电话：</w:t>
            </w:r>
          </w:p>
        </w:tc>
        <w:tc>
          <w:tcPr>
            <w:tcW w:w="2500" w:type="pct"/>
            <w:shd w:val="clear" w:color="auto" w:fill="auto"/>
            <w:vAlign w:val="center"/>
          </w:tcPr>
          <w:p w14:paraId="5061B052">
            <w:pPr>
              <w:widowControl/>
              <w:spacing w:line="360" w:lineRule="auto"/>
              <w:jc w:val="left"/>
              <w:rPr>
                <w:rFonts w:ascii="宋体" w:hAnsi="宋体" w:cs="宋体"/>
                <w:bCs/>
                <w:kern w:val="0"/>
                <w:szCs w:val="21"/>
              </w:rPr>
            </w:pPr>
            <w:r>
              <w:rPr>
                <w:rFonts w:hint="eastAsia" w:ascii="宋体" w:hAnsi="宋体" w:cs="宋体"/>
                <w:b/>
                <w:kern w:val="0"/>
                <w:szCs w:val="21"/>
              </w:rPr>
              <w:t>电话：</w:t>
            </w:r>
          </w:p>
        </w:tc>
      </w:tr>
      <w:tr w14:paraId="012C1399">
        <w:tblPrEx>
          <w:tblCellMar>
            <w:top w:w="0" w:type="dxa"/>
            <w:left w:w="108" w:type="dxa"/>
            <w:bottom w:w="0" w:type="dxa"/>
            <w:right w:w="108" w:type="dxa"/>
          </w:tblCellMar>
        </w:tblPrEx>
        <w:trPr>
          <w:trHeight w:val="454" w:hRule="atLeast"/>
        </w:trPr>
        <w:tc>
          <w:tcPr>
            <w:tcW w:w="2500" w:type="pct"/>
            <w:shd w:val="clear" w:color="auto" w:fill="auto"/>
            <w:vAlign w:val="center"/>
          </w:tcPr>
          <w:p w14:paraId="44A8749C">
            <w:pPr>
              <w:widowControl/>
              <w:spacing w:line="360" w:lineRule="auto"/>
              <w:jc w:val="left"/>
              <w:rPr>
                <w:rFonts w:ascii="宋体" w:hAnsi="宋体" w:cs="宋体"/>
                <w:bCs/>
                <w:kern w:val="0"/>
                <w:szCs w:val="21"/>
              </w:rPr>
            </w:pPr>
            <w:r>
              <w:rPr>
                <w:rFonts w:hint="eastAsia" w:ascii="宋体" w:hAnsi="宋体" w:cs="宋体"/>
                <w:b/>
                <w:kern w:val="0"/>
                <w:szCs w:val="21"/>
              </w:rPr>
              <w:t>传真：</w:t>
            </w:r>
          </w:p>
        </w:tc>
        <w:tc>
          <w:tcPr>
            <w:tcW w:w="2500" w:type="pct"/>
            <w:shd w:val="clear" w:color="auto" w:fill="auto"/>
            <w:vAlign w:val="center"/>
          </w:tcPr>
          <w:p w14:paraId="59A7755A">
            <w:pPr>
              <w:widowControl/>
              <w:spacing w:line="360" w:lineRule="auto"/>
              <w:jc w:val="left"/>
              <w:rPr>
                <w:rFonts w:ascii="宋体" w:hAnsi="宋体" w:cs="宋体"/>
                <w:bCs/>
                <w:kern w:val="0"/>
                <w:szCs w:val="21"/>
              </w:rPr>
            </w:pPr>
            <w:r>
              <w:rPr>
                <w:rFonts w:hint="eastAsia" w:ascii="宋体" w:hAnsi="宋体" w:cs="宋体"/>
                <w:b/>
                <w:kern w:val="0"/>
                <w:szCs w:val="21"/>
              </w:rPr>
              <w:t>传真：</w:t>
            </w:r>
          </w:p>
        </w:tc>
      </w:tr>
      <w:tr w14:paraId="1740BDA5">
        <w:tblPrEx>
          <w:tblCellMar>
            <w:top w:w="0" w:type="dxa"/>
            <w:left w:w="108" w:type="dxa"/>
            <w:bottom w:w="0" w:type="dxa"/>
            <w:right w:w="108" w:type="dxa"/>
          </w:tblCellMar>
        </w:tblPrEx>
        <w:trPr>
          <w:trHeight w:val="454" w:hRule="atLeast"/>
        </w:trPr>
        <w:tc>
          <w:tcPr>
            <w:tcW w:w="2500" w:type="pct"/>
            <w:shd w:val="clear" w:color="auto" w:fill="auto"/>
            <w:vAlign w:val="center"/>
          </w:tcPr>
          <w:p w14:paraId="132D31AD">
            <w:pPr>
              <w:widowControl/>
              <w:spacing w:line="360" w:lineRule="auto"/>
              <w:jc w:val="left"/>
              <w:rPr>
                <w:rFonts w:ascii="宋体" w:hAnsi="宋体" w:cs="宋体"/>
                <w:bCs/>
                <w:kern w:val="0"/>
                <w:szCs w:val="21"/>
              </w:rPr>
            </w:pPr>
            <w:r>
              <w:rPr>
                <w:rFonts w:hint="eastAsia" w:ascii="宋体" w:hAnsi="宋体" w:cs="宋体"/>
                <w:b/>
                <w:kern w:val="0"/>
                <w:szCs w:val="21"/>
              </w:rPr>
              <w:t>电子信箱：</w:t>
            </w:r>
          </w:p>
        </w:tc>
        <w:tc>
          <w:tcPr>
            <w:tcW w:w="2500" w:type="pct"/>
            <w:shd w:val="clear" w:color="auto" w:fill="auto"/>
            <w:vAlign w:val="center"/>
          </w:tcPr>
          <w:p w14:paraId="047BCD2E">
            <w:pPr>
              <w:widowControl/>
              <w:spacing w:line="360" w:lineRule="auto"/>
              <w:jc w:val="left"/>
              <w:rPr>
                <w:rFonts w:ascii="宋体" w:hAnsi="宋体" w:cs="宋体"/>
                <w:bCs/>
                <w:kern w:val="0"/>
                <w:szCs w:val="21"/>
              </w:rPr>
            </w:pPr>
            <w:r>
              <w:rPr>
                <w:rFonts w:hint="eastAsia" w:ascii="宋体" w:hAnsi="宋体" w:cs="宋体"/>
                <w:b/>
                <w:kern w:val="0"/>
                <w:szCs w:val="21"/>
              </w:rPr>
              <w:t>电子信箱：</w:t>
            </w:r>
          </w:p>
        </w:tc>
      </w:tr>
      <w:tr w14:paraId="2724B145">
        <w:tblPrEx>
          <w:tblCellMar>
            <w:top w:w="0" w:type="dxa"/>
            <w:left w:w="108" w:type="dxa"/>
            <w:bottom w:w="0" w:type="dxa"/>
            <w:right w:w="108" w:type="dxa"/>
          </w:tblCellMar>
        </w:tblPrEx>
        <w:trPr>
          <w:trHeight w:val="454" w:hRule="atLeast"/>
        </w:trPr>
        <w:tc>
          <w:tcPr>
            <w:tcW w:w="2500" w:type="pct"/>
            <w:shd w:val="clear" w:color="auto" w:fill="auto"/>
            <w:vAlign w:val="center"/>
          </w:tcPr>
          <w:p w14:paraId="1DC55D9E">
            <w:pPr>
              <w:widowControl/>
              <w:spacing w:line="360" w:lineRule="auto"/>
              <w:jc w:val="left"/>
              <w:rPr>
                <w:rFonts w:ascii="宋体" w:hAnsi="宋体" w:cs="宋体"/>
                <w:bCs/>
                <w:kern w:val="0"/>
                <w:szCs w:val="21"/>
              </w:rPr>
            </w:pPr>
            <w:r>
              <w:rPr>
                <w:rFonts w:hint="eastAsia" w:ascii="宋体" w:hAnsi="宋体" w:cs="宋体"/>
                <w:b/>
                <w:kern w:val="0"/>
                <w:szCs w:val="21"/>
              </w:rPr>
              <w:t>开户银行：</w:t>
            </w:r>
          </w:p>
        </w:tc>
        <w:tc>
          <w:tcPr>
            <w:tcW w:w="2500" w:type="pct"/>
            <w:shd w:val="clear" w:color="auto" w:fill="auto"/>
            <w:vAlign w:val="center"/>
          </w:tcPr>
          <w:p w14:paraId="6648FFD3">
            <w:pPr>
              <w:widowControl/>
              <w:spacing w:line="360" w:lineRule="auto"/>
              <w:jc w:val="left"/>
              <w:rPr>
                <w:rFonts w:ascii="宋体" w:hAnsi="宋体" w:cs="宋体"/>
                <w:bCs/>
                <w:kern w:val="0"/>
                <w:szCs w:val="21"/>
              </w:rPr>
            </w:pPr>
            <w:r>
              <w:rPr>
                <w:rFonts w:hint="eastAsia" w:ascii="宋体" w:hAnsi="宋体" w:cs="宋体"/>
                <w:b/>
                <w:kern w:val="0"/>
                <w:szCs w:val="21"/>
              </w:rPr>
              <w:t>开户银行：</w:t>
            </w:r>
          </w:p>
        </w:tc>
      </w:tr>
      <w:tr w14:paraId="3B423527">
        <w:tblPrEx>
          <w:tblCellMar>
            <w:top w:w="0" w:type="dxa"/>
            <w:left w:w="108" w:type="dxa"/>
            <w:bottom w:w="0" w:type="dxa"/>
            <w:right w:w="108" w:type="dxa"/>
          </w:tblCellMar>
        </w:tblPrEx>
        <w:trPr>
          <w:trHeight w:val="454" w:hRule="atLeast"/>
        </w:trPr>
        <w:tc>
          <w:tcPr>
            <w:tcW w:w="2500" w:type="pct"/>
            <w:shd w:val="clear" w:color="auto" w:fill="auto"/>
            <w:vAlign w:val="center"/>
          </w:tcPr>
          <w:p w14:paraId="6D391416">
            <w:pPr>
              <w:widowControl/>
              <w:spacing w:line="360" w:lineRule="auto"/>
              <w:jc w:val="left"/>
              <w:rPr>
                <w:rFonts w:ascii="宋体" w:hAnsi="宋体" w:cs="宋体"/>
                <w:bCs/>
                <w:kern w:val="0"/>
                <w:szCs w:val="21"/>
              </w:rPr>
            </w:pPr>
            <w:r>
              <w:rPr>
                <w:rFonts w:hint="eastAsia" w:ascii="宋体" w:hAnsi="宋体" w:cs="宋体"/>
                <w:b/>
                <w:kern w:val="0"/>
                <w:szCs w:val="21"/>
              </w:rPr>
              <w:t>账号：</w:t>
            </w:r>
          </w:p>
        </w:tc>
        <w:tc>
          <w:tcPr>
            <w:tcW w:w="2500" w:type="pct"/>
            <w:shd w:val="clear" w:color="auto" w:fill="auto"/>
            <w:vAlign w:val="center"/>
          </w:tcPr>
          <w:p w14:paraId="026261E1">
            <w:pPr>
              <w:widowControl/>
              <w:spacing w:line="360" w:lineRule="auto"/>
              <w:jc w:val="left"/>
              <w:rPr>
                <w:rFonts w:ascii="宋体" w:hAnsi="宋体" w:cs="宋体"/>
                <w:bCs/>
                <w:kern w:val="0"/>
                <w:szCs w:val="21"/>
              </w:rPr>
            </w:pPr>
            <w:r>
              <w:rPr>
                <w:rFonts w:hint="eastAsia" w:ascii="宋体" w:hAnsi="宋体" w:cs="宋体"/>
                <w:b/>
                <w:kern w:val="0"/>
                <w:szCs w:val="21"/>
              </w:rPr>
              <w:t>账号：</w:t>
            </w:r>
          </w:p>
        </w:tc>
      </w:tr>
    </w:tbl>
    <w:p w14:paraId="33D0B74F">
      <w:pPr>
        <w:widowControl/>
        <w:spacing w:line="360" w:lineRule="auto"/>
        <w:jc w:val="left"/>
        <w:rPr>
          <w:rFonts w:ascii="宋体" w:hAnsi="宋体" w:cs="宋体"/>
          <w:bCs/>
          <w:kern w:val="0"/>
          <w:szCs w:val="21"/>
        </w:rPr>
      </w:pPr>
    </w:p>
    <w:p w14:paraId="6ADC2783">
      <w:pPr>
        <w:spacing w:line="360" w:lineRule="auto"/>
        <w:rPr>
          <w:rFonts w:ascii="宋体" w:hAnsi="宋体" w:cs="宋体"/>
          <w:kern w:val="0"/>
          <w:szCs w:val="21"/>
        </w:rPr>
      </w:pPr>
      <w:r>
        <w:rPr>
          <w:rFonts w:hint="eastAsia" w:ascii="宋体" w:hAnsi="宋体" w:cs="宋体"/>
          <w:kern w:val="0"/>
          <w:szCs w:val="21"/>
        </w:rPr>
        <w:br w:type="page"/>
      </w:r>
    </w:p>
    <w:p w14:paraId="107651FE">
      <w:pPr>
        <w:widowControl/>
        <w:spacing w:line="360" w:lineRule="auto"/>
        <w:jc w:val="center"/>
        <w:outlineLvl w:val="1"/>
        <w:rPr>
          <w:rFonts w:ascii="宋体" w:hAnsi="宋体" w:cs="宋体"/>
          <w:b/>
          <w:bCs/>
          <w:kern w:val="0"/>
          <w:sz w:val="32"/>
          <w:szCs w:val="32"/>
        </w:rPr>
      </w:pPr>
      <w:bookmarkStart w:id="252" w:name="_Toc19210"/>
      <w:r>
        <w:rPr>
          <w:rFonts w:hint="eastAsia" w:ascii="宋体" w:hAnsi="宋体" w:cs="宋体"/>
          <w:b/>
          <w:bCs/>
          <w:kern w:val="0"/>
          <w:sz w:val="32"/>
          <w:szCs w:val="32"/>
        </w:rPr>
        <w:t>第二部分  合同条款</w:t>
      </w:r>
      <w:bookmarkEnd w:id="252"/>
    </w:p>
    <w:p w14:paraId="15108DA9">
      <w:pPr>
        <w:spacing w:line="360" w:lineRule="auto"/>
        <w:jc w:val="left"/>
        <w:rPr>
          <w:rFonts w:ascii="宋体" w:hAnsi="宋体" w:cs="宋体"/>
          <w:b/>
          <w:szCs w:val="21"/>
        </w:rPr>
      </w:pPr>
      <w:r>
        <w:rPr>
          <w:rFonts w:hint="eastAsia" w:ascii="宋体" w:hAnsi="宋体" w:cs="宋体"/>
          <w:b/>
          <w:szCs w:val="21"/>
        </w:rPr>
        <w:t>一、合同文件</w:t>
      </w:r>
    </w:p>
    <w:p w14:paraId="3E0AF7CF">
      <w:pPr>
        <w:spacing w:line="360" w:lineRule="auto"/>
        <w:rPr>
          <w:rFonts w:ascii="宋体" w:hAnsi="宋体" w:cs="宋体"/>
          <w:b/>
          <w:szCs w:val="21"/>
        </w:rPr>
      </w:pPr>
      <w:r>
        <w:rPr>
          <w:rFonts w:hint="eastAsia" w:ascii="宋体" w:hAnsi="宋体" w:cs="宋体"/>
          <w:b/>
          <w:szCs w:val="21"/>
        </w:rPr>
        <w:t>1语言文字和适用法律、法规</w:t>
      </w:r>
    </w:p>
    <w:p w14:paraId="6278159C">
      <w:pPr>
        <w:spacing w:line="360" w:lineRule="auto"/>
        <w:rPr>
          <w:rFonts w:ascii="宋体" w:hAnsi="宋体" w:cs="宋体"/>
          <w:szCs w:val="21"/>
        </w:rPr>
      </w:pPr>
      <w:r>
        <w:rPr>
          <w:rFonts w:hint="eastAsia" w:ascii="宋体" w:hAnsi="宋体" w:cs="宋体"/>
          <w:szCs w:val="21"/>
        </w:rPr>
        <w:t>1.1本合同除使用汉语外，还使用/ 语言文字。</w:t>
      </w:r>
    </w:p>
    <w:p w14:paraId="3D45BDD0">
      <w:pPr>
        <w:spacing w:line="360" w:lineRule="auto"/>
        <w:rPr>
          <w:rFonts w:ascii="宋体" w:hAnsi="宋体" w:cs="宋体"/>
          <w:szCs w:val="21"/>
        </w:rPr>
      </w:pPr>
      <w:r>
        <w:rPr>
          <w:rFonts w:hint="eastAsia" w:ascii="宋体" w:hAnsi="宋体" w:cs="宋体"/>
          <w:szCs w:val="21"/>
        </w:rPr>
        <w:t>1.2需要明示的法律、法规、规章：</w:t>
      </w:r>
      <w:r>
        <w:rPr>
          <w:rFonts w:hint="eastAsia" w:ascii="宋体" w:hAnsi="宋体" w:cs="宋体"/>
          <w:b/>
          <w:szCs w:val="21"/>
          <w:u w:val="single"/>
        </w:rPr>
        <w:t>《中华人民共和国民法典》、《中华人民共和国建筑法》、《房屋建筑工程质量保修办法》、《工程建设项目货物招标投标管理办法》、《建筑装饰装修管理规定》、《建设工程质量管理条例》，《深圳市建设工程质量管理条例》，《深圳市建设工程现场文明施工管理办法》，《深圳市员工工资支付条例》，深圳市关于净、畅、宁工程的要求等国家、建设部、广东省、深圳市、市、区相关法律、法规、规章、制度及发包人的相关规定。</w:t>
      </w:r>
    </w:p>
    <w:p w14:paraId="34E84B27">
      <w:pPr>
        <w:spacing w:line="360" w:lineRule="auto"/>
        <w:rPr>
          <w:rFonts w:ascii="宋体" w:hAnsi="宋体" w:cs="宋体"/>
          <w:b/>
          <w:szCs w:val="21"/>
        </w:rPr>
      </w:pPr>
      <w:r>
        <w:rPr>
          <w:rFonts w:hint="eastAsia" w:ascii="宋体" w:hAnsi="宋体" w:cs="宋体"/>
          <w:b/>
          <w:szCs w:val="21"/>
        </w:rPr>
        <w:t>2适用标准、规范</w:t>
      </w:r>
    </w:p>
    <w:p w14:paraId="355A0294">
      <w:pPr>
        <w:spacing w:line="360" w:lineRule="auto"/>
        <w:rPr>
          <w:rFonts w:ascii="宋体" w:hAnsi="宋体" w:cs="宋体"/>
          <w:szCs w:val="21"/>
          <w:u w:val="single"/>
        </w:rPr>
      </w:pPr>
      <w:r>
        <w:rPr>
          <w:rFonts w:hint="eastAsia" w:ascii="宋体" w:hAnsi="宋体" w:cs="宋体"/>
          <w:szCs w:val="21"/>
        </w:rPr>
        <w:t>2.1国家、行业及工程所在地地方标准、规范存在不一致时，约定选用的标准、规范名称：</w:t>
      </w:r>
      <w:r>
        <w:rPr>
          <w:rFonts w:hint="eastAsia" w:ascii="宋体" w:hAnsi="宋体" w:cs="宋体"/>
          <w:b/>
          <w:szCs w:val="21"/>
          <w:u w:val="single"/>
        </w:rPr>
        <w:t>发包人与承包人约定</w:t>
      </w:r>
      <w:r>
        <w:rPr>
          <w:rFonts w:hint="eastAsia" w:ascii="宋体" w:hAnsi="宋体" w:cs="宋体"/>
          <w:b/>
          <w:bCs/>
          <w:szCs w:val="21"/>
          <w:u w:val="single"/>
        </w:rPr>
        <w:t>本工程的材料、设备、施工必须符合现行国家、行业及工程所在地地方标准、规范的要求。所有规范、标准由承包人根据施工图纸明细自行购买和保存。国家、行业及工程所在地地方标准、规范存在不一致时，以要求较严的标准、规范</w:t>
      </w:r>
      <w:r>
        <w:rPr>
          <w:rFonts w:hint="eastAsia" w:ascii="宋体" w:hAnsi="宋体" w:cs="宋体"/>
          <w:b/>
          <w:szCs w:val="21"/>
          <w:u w:val="single"/>
        </w:rPr>
        <w:t>为准。</w:t>
      </w:r>
    </w:p>
    <w:p w14:paraId="7F3F75F6">
      <w:pPr>
        <w:spacing w:line="360" w:lineRule="auto"/>
        <w:rPr>
          <w:rFonts w:ascii="宋体" w:hAnsi="宋体" w:cs="宋体"/>
          <w:szCs w:val="21"/>
        </w:rPr>
      </w:pPr>
      <w:r>
        <w:rPr>
          <w:rFonts w:hint="eastAsia" w:ascii="宋体" w:hAnsi="宋体" w:cs="宋体"/>
          <w:szCs w:val="21"/>
        </w:rPr>
        <w:t>2.2发包人提供选用标准、规范的时间：</w:t>
      </w:r>
      <w:r>
        <w:rPr>
          <w:rFonts w:hint="eastAsia" w:ascii="宋体" w:hAnsi="宋体" w:cs="宋体"/>
          <w:b/>
          <w:szCs w:val="21"/>
          <w:u w:val="single"/>
        </w:rPr>
        <w:t>承包人自备</w:t>
      </w:r>
    </w:p>
    <w:p w14:paraId="33360763">
      <w:pPr>
        <w:spacing w:line="360" w:lineRule="auto"/>
        <w:rPr>
          <w:rFonts w:ascii="宋体" w:hAnsi="宋体" w:cs="宋体"/>
          <w:szCs w:val="21"/>
        </w:rPr>
      </w:pPr>
      <w:r>
        <w:rPr>
          <w:rFonts w:hint="eastAsia" w:ascii="宋体" w:hAnsi="宋体" w:cs="宋体"/>
          <w:szCs w:val="21"/>
        </w:rPr>
        <w:t>2.3国内没有相应标准、规范时的约定(可另附)：</w:t>
      </w:r>
      <w:r>
        <w:rPr>
          <w:rFonts w:hint="eastAsia" w:ascii="宋体" w:hAnsi="宋体" w:cs="宋体"/>
          <w:b/>
          <w:szCs w:val="21"/>
          <w:u w:val="single"/>
        </w:rPr>
        <w:t xml:space="preserve">经发包人确认同意后，按照材料、设备制造商提供的产品使用说明书或安装手册的要求施工、验收。 </w:t>
      </w:r>
    </w:p>
    <w:p w14:paraId="69B82CE1">
      <w:pPr>
        <w:spacing w:line="360" w:lineRule="auto"/>
        <w:rPr>
          <w:rFonts w:ascii="宋体" w:hAnsi="宋体" w:cs="宋体"/>
          <w:b/>
          <w:szCs w:val="21"/>
        </w:rPr>
      </w:pPr>
      <w:r>
        <w:rPr>
          <w:rFonts w:hint="eastAsia" w:ascii="宋体" w:hAnsi="宋体" w:cs="宋体"/>
          <w:b/>
          <w:szCs w:val="21"/>
        </w:rPr>
        <w:t>3图纸</w:t>
      </w:r>
    </w:p>
    <w:p w14:paraId="2054AF49">
      <w:pPr>
        <w:spacing w:line="360" w:lineRule="auto"/>
        <w:rPr>
          <w:rFonts w:ascii="宋体" w:hAnsi="宋体" w:cs="宋体"/>
          <w:szCs w:val="21"/>
          <w:u w:val="single"/>
        </w:rPr>
      </w:pPr>
      <w:r>
        <w:rPr>
          <w:rFonts w:hint="eastAsia" w:ascii="宋体" w:hAnsi="宋体" w:cs="宋体"/>
          <w:szCs w:val="21"/>
        </w:rPr>
        <w:t>3.1发包人向承包人提供图纸套数：</w:t>
      </w:r>
      <w:r>
        <w:rPr>
          <w:rFonts w:hint="eastAsia" w:ascii="宋体" w:hAnsi="宋体" w:cs="宋体"/>
          <w:b/>
          <w:szCs w:val="21"/>
          <w:u w:val="single"/>
        </w:rPr>
        <w:t>/</w:t>
      </w:r>
    </w:p>
    <w:p w14:paraId="7AE400A9">
      <w:pPr>
        <w:tabs>
          <w:tab w:val="left" w:pos="4380"/>
        </w:tabs>
        <w:spacing w:line="360" w:lineRule="auto"/>
        <w:ind w:firstLine="420" w:firstLineChars="200"/>
        <w:rPr>
          <w:rFonts w:ascii="宋体" w:hAnsi="宋体" w:cs="宋体"/>
          <w:szCs w:val="21"/>
          <w:u w:val="single"/>
        </w:rPr>
      </w:pPr>
      <w:r>
        <w:rPr>
          <w:rFonts w:hint="eastAsia" w:ascii="宋体" w:hAnsi="宋体" w:cs="宋体"/>
          <w:szCs w:val="21"/>
        </w:rPr>
        <w:t>发包人向承包人提供图纸日期：</w:t>
      </w:r>
      <w:r>
        <w:rPr>
          <w:rFonts w:hint="eastAsia" w:ascii="宋体" w:hAnsi="宋体" w:cs="宋体"/>
          <w:b/>
          <w:szCs w:val="21"/>
          <w:u w:val="single"/>
        </w:rPr>
        <w:t>/</w:t>
      </w:r>
    </w:p>
    <w:p w14:paraId="20B052EC">
      <w:pPr>
        <w:spacing w:line="360" w:lineRule="auto"/>
        <w:rPr>
          <w:rFonts w:ascii="宋体" w:hAnsi="宋体" w:cs="宋体"/>
          <w:szCs w:val="21"/>
        </w:rPr>
      </w:pPr>
      <w:r>
        <w:rPr>
          <w:rFonts w:hint="eastAsia" w:ascii="宋体" w:hAnsi="宋体" w:cs="宋体"/>
          <w:szCs w:val="21"/>
        </w:rPr>
        <w:t>3.2发包人对工程的保密要求和保密期限：</w:t>
      </w:r>
      <w:r>
        <w:rPr>
          <w:rFonts w:hint="eastAsia" w:ascii="宋体" w:hAnsi="宋体" w:cs="宋体"/>
          <w:b/>
          <w:szCs w:val="21"/>
          <w:u w:val="single"/>
        </w:rPr>
        <w:t>未经发包人同意、承包人对本工程的图纸和技术资料及文件不得擅自修改、复制或向第三人转让或用于本合同外的项目，否则承包人应承担相关一切法律责任并赔偿因此造成的一切损失。</w:t>
      </w:r>
    </w:p>
    <w:p w14:paraId="41728327">
      <w:pPr>
        <w:spacing w:line="360" w:lineRule="auto"/>
        <w:rPr>
          <w:rFonts w:ascii="宋体" w:hAnsi="宋体" w:cs="宋体"/>
          <w:b/>
          <w:szCs w:val="21"/>
        </w:rPr>
      </w:pPr>
      <w:r>
        <w:rPr>
          <w:rFonts w:hint="eastAsia" w:ascii="宋体" w:hAnsi="宋体" w:cs="宋体"/>
          <w:b/>
          <w:szCs w:val="21"/>
        </w:rPr>
        <w:t>4通知</w:t>
      </w:r>
    </w:p>
    <w:p w14:paraId="39BF89E8">
      <w:pPr>
        <w:spacing w:line="360" w:lineRule="auto"/>
        <w:rPr>
          <w:rFonts w:ascii="宋体" w:hAnsi="宋体" w:cs="宋体"/>
          <w:bCs/>
          <w:i/>
          <w:iCs/>
          <w:szCs w:val="21"/>
          <w:u w:val="single"/>
        </w:rPr>
      </w:pPr>
      <w:r>
        <w:rPr>
          <w:rFonts w:hint="eastAsia" w:ascii="宋体" w:hAnsi="宋体" w:cs="宋体"/>
          <w:szCs w:val="21"/>
        </w:rPr>
        <w:t>4.1承包人的地址：</w:t>
      </w:r>
      <w:r>
        <w:rPr>
          <w:rFonts w:hint="eastAsia" w:ascii="宋体" w:hAnsi="宋体" w:cs="宋体"/>
          <w:bCs/>
          <w:szCs w:val="21"/>
        </w:rPr>
        <w:t>邮编：</w:t>
      </w:r>
      <w:r>
        <w:rPr>
          <w:rFonts w:hint="eastAsia" w:ascii="宋体" w:hAnsi="宋体" w:cs="宋体"/>
          <w:b/>
          <w:szCs w:val="21"/>
          <w:u w:val="single"/>
        </w:rPr>
        <w:t>518001</w:t>
      </w:r>
    </w:p>
    <w:p w14:paraId="42DBCE57">
      <w:pPr>
        <w:spacing w:line="360" w:lineRule="auto"/>
        <w:rPr>
          <w:rFonts w:ascii="宋体" w:hAnsi="宋体" w:cs="宋体"/>
          <w:szCs w:val="21"/>
          <w:u w:val="single"/>
        </w:rPr>
      </w:pPr>
      <w:r>
        <w:rPr>
          <w:rFonts w:hint="eastAsia" w:ascii="宋体" w:hAnsi="宋体" w:cs="宋体"/>
          <w:szCs w:val="21"/>
        </w:rPr>
        <w:t>4.2发包人的地址：</w:t>
      </w:r>
      <w:r>
        <w:rPr>
          <w:rFonts w:hint="eastAsia" w:ascii="宋体" w:hAnsi="宋体" w:cs="宋体"/>
          <w:szCs w:val="21"/>
          <w:u w:val="single"/>
        </w:rPr>
        <w:t xml:space="preserve"> 福田南路24号  </w:t>
      </w:r>
      <w:r>
        <w:rPr>
          <w:rFonts w:hint="eastAsia" w:ascii="宋体" w:hAnsi="宋体" w:cs="宋体"/>
          <w:szCs w:val="21"/>
        </w:rPr>
        <w:t>。</w:t>
      </w:r>
      <w:r>
        <w:rPr>
          <w:rFonts w:hint="eastAsia" w:ascii="宋体" w:hAnsi="宋体" w:cs="宋体"/>
          <w:bCs/>
          <w:szCs w:val="21"/>
        </w:rPr>
        <w:t>邮编：</w:t>
      </w:r>
      <w:r>
        <w:rPr>
          <w:rFonts w:hint="eastAsia" w:ascii="宋体" w:hAnsi="宋体" w:cs="宋体"/>
          <w:b/>
          <w:bCs/>
          <w:kern w:val="0"/>
          <w:szCs w:val="21"/>
          <w:u w:val="single"/>
        </w:rPr>
        <w:t>518000</w:t>
      </w:r>
    </w:p>
    <w:p w14:paraId="24CBB4E3">
      <w:pPr>
        <w:spacing w:line="360" w:lineRule="auto"/>
        <w:rPr>
          <w:rFonts w:ascii="宋体" w:hAnsi="宋体" w:cs="宋体"/>
          <w:szCs w:val="21"/>
          <w:u w:val="single"/>
        </w:rPr>
      </w:pPr>
      <w:r>
        <w:rPr>
          <w:rFonts w:hint="eastAsia" w:ascii="宋体" w:hAnsi="宋体" w:cs="宋体"/>
          <w:szCs w:val="21"/>
        </w:rPr>
        <w:t>4.3工程师的地址</w:t>
      </w:r>
      <w:r>
        <w:rPr>
          <w:rFonts w:hint="eastAsia" w:ascii="宋体" w:hAnsi="宋体" w:cs="宋体"/>
          <w:szCs w:val="21"/>
          <w:u w:val="single"/>
        </w:rPr>
        <w:t xml:space="preserve">：              /             </w:t>
      </w:r>
      <w:r>
        <w:rPr>
          <w:rFonts w:hint="eastAsia" w:ascii="宋体" w:hAnsi="宋体" w:cs="宋体"/>
          <w:bCs/>
          <w:szCs w:val="21"/>
        </w:rPr>
        <w:t>邮编：</w:t>
      </w:r>
      <w:r>
        <w:rPr>
          <w:rFonts w:hint="eastAsia" w:ascii="宋体" w:hAnsi="宋体" w:cs="宋体"/>
          <w:bCs/>
          <w:szCs w:val="21"/>
          <w:u w:val="single"/>
        </w:rPr>
        <w:t xml:space="preserve">     /     </w:t>
      </w:r>
    </w:p>
    <w:p w14:paraId="3FCCE1DC">
      <w:pPr>
        <w:spacing w:line="360" w:lineRule="auto"/>
        <w:rPr>
          <w:rFonts w:ascii="宋体" w:hAnsi="宋体" w:cs="宋体"/>
          <w:szCs w:val="21"/>
        </w:rPr>
      </w:pPr>
      <w:r>
        <w:rPr>
          <w:rFonts w:hint="eastAsia" w:ascii="宋体" w:hAnsi="宋体" w:cs="宋体"/>
          <w:szCs w:val="21"/>
        </w:rPr>
        <w:t>4.4如一方拒绝签收另一方通知，另一方以</w:t>
      </w:r>
      <w:r>
        <w:rPr>
          <w:rFonts w:hint="eastAsia" w:ascii="宋体" w:hAnsi="宋体" w:cs="宋体"/>
          <w:b/>
          <w:szCs w:val="21"/>
          <w:u w:val="single"/>
        </w:rPr>
        <w:t>邮政特快专递、航空挂号信函或有记录交付的其它形式</w:t>
      </w:r>
      <w:r>
        <w:rPr>
          <w:rFonts w:hint="eastAsia" w:ascii="宋体" w:hAnsi="宋体" w:cs="宋体"/>
          <w:szCs w:val="21"/>
        </w:rPr>
        <w:t>方式将通知送至专用条款中指定的地址，视为送达。</w:t>
      </w:r>
    </w:p>
    <w:p w14:paraId="7F8CD7AF">
      <w:pPr>
        <w:spacing w:line="360" w:lineRule="auto"/>
        <w:jc w:val="left"/>
        <w:rPr>
          <w:rFonts w:ascii="宋体" w:hAnsi="宋体" w:cs="宋体"/>
          <w:b/>
          <w:szCs w:val="21"/>
        </w:rPr>
      </w:pPr>
      <w:r>
        <w:rPr>
          <w:rFonts w:hint="eastAsia" w:ascii="宋体" w:hAnsi="宋体" w:cs="宋体"/>
          <w:b/>
          <w:szCs w:val="21"/>
        </w:rPr>
        <w:t>二、发包人和承包人</w:t>
      </w:r>
    </w:p>
    <w:p w14:paraId="4C2BB33E">
      <w:pPr>
        <w:spacing w:line="360" w:lineRule="auto"/>
        <w:rPr>
          <w:rFonts w:ascii="宋体" w:hAnsi="宋体" w:cs="宋体"/>
          <w:b/>
          <w:szCs w:val="21"/>
        </w:rPr>
      </w:pPr>
      <w:r>
        <w:rPr>
          <w:rFonts w:hint="eastAsia" w:ascii="宋体" w:hAnsi="宋体" w:cs="宋体"/>
          <w:b/>
          <w:szCs w:val="21"/>
        </w:rPr>
        <w:t>5发包人</w:t>
      </w:r>
    </w:p>
    <w:p w14:paraId="5B20DB3F">
      <w:pPr>
        <w:spacing w:line="360" w:lineRule="auto"/>
        <w:rPr>
          <w:rFonts w:ascii="宋体" w:hAnsi="宋体" w:cs="宋体"/>
          <w:szCs w:val="21"/>
          <w:highlight w:val="yellow"/>
          <w:u w:val="single"/>
        </w:rPr>
      </w:pPr>
      <w:r>
        <w:rPr>
          <w:rFonts w:hint="eastAsia" w:ascii="宋体" w:hAnsi="宋体" w:cs="宋体"/>
          <w:szCs w:val="21"/>
        </w:rPr>
        <w:t>5.1发包人代表的姓名：</w:t>
      </w:r>
      <w:r>
        <w:rPr>
          <w:rFonts w:hint="eastAsia" w:ascii="宋体" w:hAnsi="宋体" w:cs="宋体"/>
          <w:szCs w:val="21"/>
          <w:u w:val="single"/>
        </w:rPr>
        <w:t xml:space="preserve">  </w:t>
      </w:r>
    </w:p>
    <w:p w14:paraId="6754D981">
      <w:pPr>
        <w:spacing w:line="360" w:lineRule="auto"/>
        <w:rPr>
          <w:rFonts w:ascii="宋体" w:hAnsi="宋体" w:cs="宋体"/>
          <w:szCs w:val="21"/>
          <w:u w:val="single"/>
        </w:rPr>
      </w:pPr>
      <w:r>
        <w:rPr>
          <w:rFonts w:hint="eastAsia" w:ascii="宋体" w:hAnsi="宋体" w:cs="宋体"/>
          <w:szCs w:val="21"/>
        </w:rPr>
        <w:t>5.2施工场地内施工所需水的接驳地点：</w:t>
      </w:r>
      <w:r>
        <w:rPr>
          <w:rFonts w:hint="eastAsia" w:ascii="宋体" w:hAnsi="宋体" w:cs="宋体"/>
          <w:b/>
          <w:szCs w:val="21"/>
          <w:u w:val="single"/>
        </w:rPr>
        <w:t>由发包人接至红线内</w:t>
      </w:r>
      <w:r>
        <w:rPr>
          <w:rFonts w:hint="eastAsia" w:ascii="宋体" w:hAnsi="宋体" w:cs="宋体"/>
          <w:b/>
          <w:bCs/>
          <w:szCs w:val="21"/>
          <w:u w:val="single"/>
        </w:rPr>
        <w:t>，承包人负责接驳到现场的工作，所需费用由承包人自行报价，结算时不予调整，承包人须考虑投标风险。接驳方案需经工程师及发包人审批认可。</w:t>
      </w:r>
    </w:p>
    <w:p w14:paraId="0FBBBEE7">
      <w:pPr>
        <w:spacing w:line="360" w:lineRule="auto"/>
        <w:rPr>
          <w:rFonts w:ascii="宋体" w:hAnsi="宋体" w:cs="宋体"/>
          <w:szCs w:val="21"/>
          <w:u w:val="single"/>
        </w:rPr>
      </w:pPr>
      <w:r>
        <w:rPr>
          <w:rFonts w:hint="eastAsia" w:ascii="宋体" w:hAnsi="宋体" w:cs="宋体"/>
          <w:szCs w:val="21"/>
        </w:rPr>
        <w:t>5.3施工场地内施工所需电的接驳地点：</w:t>
      </w:r>
      <w:r>
        <w:rPr>
          <w:rFonts w:hint="eastAsia" w:ascii="宋体" w:hAnsi="宋体" w:cs="宋体"/>
          <w:b/>
          <w:szCs w:val="21"/>
          <w:u w:val="single"/>
        </w:rPr>
        <w:t>由发包人接至红线内，承包人负责接驳到现场的工作，所需费用由承包人自行报价，结算时不予调整，承包人须考虑投标风险。接驳方案需经工程师及发包人审批认可。承包人仍须自备备用的发电机组设备（费用已经包括在合同价款的临时设施费中），以保证偶然停电情况下施工能正常进行。</w:t>
      </w:r>
    </w:p>
    <w:p w14:paraId="45A63474">
      <w:pPr>
        <w:spacing w:line="360" w:lineRule="auto"/>
        <w:rPr>
          <w:rFonts w:ascii="宋体" w:hAnsi="宋体" w:cs="宋体"/>
          <w:szCs w:val="21"/>
        </w:rPr>
      </w:pPr>
      <w:r>
        <w:rPr>
          <w:rFonts w:hint="eastAsia" w:ascii="宋体" w:hAnsi="宋体" w:cs="宋体"/>
          <w:szCs w:val="21"/>
        </w:rPr>
        <w:t>5.4施工场地内施工所需通讯的接驳地点：</w:t>
      </w:r>
      <w:r>
        <w:rPr>
          <w:rFonts w:hint="eastAsia" w:ascii="宋体" w:hAnsi="宋体" w:cs="宋体"/>
          <w:b/>
          <w:szCs w:val="21"/>
          <w:u w:val="single"/>
        </w:rPr>
        <w:t>发包人不提供接驳点，承包人负责接驳到现场的工作，所需费用由承包人自行报价，结算时不予调整，承包人须考虑投标风险。接驳方案需经工程师及发包人审批认可。</w:t>
      </w:r>
    </w:p>
    <w:p w14:paraId="01839DF2">
      <w:pPr>
        <w:spacing w:line="360" w:lineRule="auto"/>
        <w:rPr>
          <w:rFonts w:ascii="宋体" w:hAnsi="宋体" w:cs="宋体"/>
          <w:szCs w:val="21"/>
          <w:u w:val="single"/>
        </w:rPr>
      </w:pPr>
      <w:r>
        <w:rPr>
          <w:rFonts w:hint="eastAsia" w:ascii="宋体" w:hAnsi="宋体" w:cs="宋体"/>
          <w:szCs w:val="21"/>
        </w:rPr>
        <w:t>5.5图纸会审和设计交底的时间：</w:t>
      </w:r>
      <w:r>
        <w:rPr>
          <w:rFonts w:hint="eastAsia" w:ascii="宋体" w:hAnsi="宋体" w:cs="宋体"/>
          <w:b/>
          <w:szCs w:val="21"/>
          <w:u w:val="single"/>
        </w:rPr>
        <w:t>由发包人与承包人协商确定。</w:t>
      </w:r>
    </w:p>
    <w:p w14:paraId="20DCB964">
      <w:pPr>
        <w:spacing w:line="360" w:lineRule="auto"/>
        <w:rPr>
          <w:rFonts w:ascii="宋体" w:hAnsi="宋体" w:cs="宋体"/>
          <w:szCs w:val="21"/>
          <w:u w:val="single"/>
        </w:rPr>
      </w:pPr>
      <w:r>
        <w:rPr>
          <w:rFonts w:hint="eastAsia" w:ascii="宋体" w:hAnsi="宋体" w:cs="宋体"/>
          <w:szCs w:val="21"/>
        </w:rPr>
        <w:t>5.6约定发包人应做的其他工作和要求：</w:t>
      </w:r>
      <w:r>
        <w:rPr>
          <w:rFonts w:hint="eastAsia" w:ascii="宋体" w:hAnsi="宋体" w:cs="宋体"/>
          <w:szCs w:val="21"/>
          <w:u w:val="single"/>
        </w:rPr>
        <w:t>/</w:t>
      </w:r>
    </w:p>
    <w:p w14:paraId="2EDDAA22">
      <w:pPr>
        <w:spacing w:line="360" w:lineRule="auto"/>
        <w:rPr>
          <w:rFonts w:ascii="宋体" w:hAnsi="宋体" w:cs="宋体"/>
          <w:szCs w:val="21"/>
          <w:u w:val="single"/>
        </w:rPr>
      </w:pPr>
      <w:r>
        <w:rPr>
          <w:rFonts w:hint="eastAsia" w:ascii="宋体" w:hAnsi="宋体" w:cs="宋体"/>
          <w:szCs w:val="21"/>
        </w:rPr>
        <w:t>5.7发包人委托承包人办理的工作：</w:t>
      </w:r>
      <w:r>
        <w:rPr>
          <w:rFonts w:hint="eastAsia" w:ascii="宋体" w:hAnsi="宋体" w:cs="宋体"/>
          <w:b/>
          <w:szCs w:val="21"/>
          <w:u w:val="single"/>
        </w:rPr>
        <w:t>需要承包人办理或配合发包人办理的所有工作。</w:t>
      </w:r>
    </w:p>
    <w:p w14:paraId="135F5646">
      <w:pPr>
        <w:spacing w:line="360" w:lineRule="auto"/>
        <w:rPr>
          <w:rFonts w:ascii="宋体" w:hAnsi="宋体" w:cs="宋体"/>
          <w:b/>
          <w:szCs w:val="21"/>
        </w:rPr>
      </w:pPr>
      <w:r>
        <w:rPr>
          <w:rFonts w:hint="eastAsia" w:ascii="宋体" w:hAnsi="宋体" w:cs="宋体"/>
          <w:b/>
          <w:szCs w:val="21"/>
        </w:rPr>
        <w:t>6承包人</w:t>
      </w:r>
    </w:p>
    <w:p w14:paraId="0F85A56A">
      <w:pPr>
        <w:spacing w:line="360" w:lineRule="auto"/>
        <w:rPr>
          <w:rFonts w:ascii="宋体" w:hAnsi="宋体" w:cs="宋体"/>
          <w:szCs w:val="21"/>
        </w:rPr>
      </w:pPr>
      <w:r>
        <w:rPr>
          <w:rFonts w:hint="eastAsia" w:ascii="宋体" w:hAnsi="宋体" w:cs="宋体"/>
          <w:szCs w:val="21"/>
        </w:rPr>
        <w:t>6.1由承包人完成设计的永久工程或临时工程的名称及设计文件的提交时间：</w:t>
      </w:r>
      <w:r>
        <w:rPr>
          <w:rFonts w:hint="eastAsia" w:ascii="宋体" w:hAnsi="宋体" w:cs="宋体"/>
          <w:b/>
          <w:szCs w:val="21"/>
          <w:u w:val="single"/>
        </w:rPr>
        <w:t>按发包人要求提交的内容及时间提交。</w:t>
      </w:r>
    </w:p>
    <w:p w14:paraId="7FDED92D">
      <w:pPr>
        <w:spacing w:line="360" w:lineRule="auto"/>
        <w:rPr>
          <w:rFonts w:ascii="宋体" w:hAnsi="宋体" w:cs="宋体"/>
          <w:szCs w:val="21"/>
        </w:rPr>
      </w:pPr>
      <w:r>
        <w:rPr>
          <w:rFonts w:hint="eastAsia" w:ascii="宋体" w:hAnsi="宋体" w:cs="宋体"/>
          <w:szCs w:val="21"/>
        </w:rPr>
        <w:t>6.2承担施工场地安全保卫工作及提供和维修非夜间施工使用的照明、围护设施的责任和要求：</w:t>
      </w:r>
      <w:r>
        <w:rPr>
          <w:rFonts w:hint="eastAsia" w:ascii="宋体" w:hAnsi="宋体" w:cs="宋体"/>
          <w:b/>
          <w:szCs w:val="21"/>
          <w:u w:val="single"/>
        </w:rPr>
        <w:t>按国家及深圳市有关规定执行，并承担因处置不当所造成的全部损失（含对第三者造成的损失）。所需费用包含在合同价款中，结算时不予调整，承包人在投标时已充分考虑到该风险。</w:t>
      </w:r>
    </w:p>
    <w:p w14:paraId="248373B8">
      <w:pPr>
        <w:spacing w:line="360" w:lineRule="auto"/>
        <w:rPr>
          <w:rFonts w:ascii="宋体" w:hAnsi="宋体" w:cs="宋体"/>
          <w:szCs w:val="21"/>
        </w:rPr>
      </w:pPr>
      <w:r>
        <w:rPr>
          <w:rFonts w:hint="eastAsia" w:ascii="宋体" w:hAnsi="宋体" w:cs="宋体"/>
          <w:szCs w:val="21"/>
        </w:rPr>
        <w:t>6.3向发包人提供施工场地办公和生活的房屋及设施的要求：</w:t>
      </w:r>
      <w:r>
        <w:rPr>
          <w:rFonts w:hint="eastAsia" w:ascii="宋体" w:hAnsi="宋体" w:cs="宋体"/>
          <w:szCs w:val="21"/>
          <w:u w:val="single"/>
        </w:rPr>
        <w:t>/</w:t>
      </w:r>
    </w:p>
    <w:p w14:paraId="0915E905">
      <w:pPr>
        <w:spacing w:line="360" w:lineRule="auto"/>
        <w:rPr>
          <w:rFonts w:ascii="宋体" w:hAnsi="宋体" w:cs="宋体"/>
          <w:szCs w:val="21"/>
        </w:rPr>
      </w:pPr>
      <w:r>
        <w:rPr>
          <w:rFonts w:hint="eastAsia" w:ascii="宋体" w:hAnsi="宋体" w:cs="宋体"/>
          <w:szCs w:val="21"/>
        </w:rPr>
        <w:t>6.4需承包人按规定办理的有关施工场地交通、环境保护、施工噪音、安全文明施工等手续的名称：</w:t>
      </w:r>
      <w:r>
        <w:rPr>
          <w:rFonts w:hint="eastAsia" w:ascii="宋体" w:hAnsi="宋体" w:cs="宋体"/>
          <w:b/>
          <w:szCs w:val="21"/>
          <w:u w:val="single"/>
        </w:rPr>
        <w:t>与本工程相关的以上手续均由承包人依据相关规定自行办理，并承担相关费用。因承包人原因或责任造成的任何罚款（包括对发包人的罚款）由承包人承担。</w:t>
      </w:r>
    </w:p>
    <w:p w14:paraId="0E656E13">
      <w:pPr>
        <w:spacing w:line="360" w:lineRule="auto"/>
        <w:rPr>
          <w:rFonts w:ascii="宋体" w:hAnsi="宋体" w:cs="宋体"/>
          <w:szCs w:val="21"/>
          <w:u w:val="single"/>
        </w:rPr>
      </w:pPr>
      <w:r>
        <w:rPr>
          <w:rFonts w:hint="eastAsia" w:ascii="宋体" w:hAnsi="宋体" w:cs="宋体"/>
          <w:szCs w:val="21"/>
        </w:rPr>
        <w:t>6.5已完工程成品保护的特殊要求：</w:t>
      </w:r>
      <w:r>
        <w:rPr>
          <w:rFonts w:hint="eastAsia" w:ascii="宋体" w:hAnsi="宋体" w:cs="宋体"/>
          <w:b/>
          <w:szCs w:val="21"/>
          <w:u w:val="single"/>
        </w:rPr>
        <w:t>未移交发包人或接受单位前，负责已完工程的保护，保护期间发生损坏，承包人在规定期间内自费予以修复，并承担风险(除不可抗力外)损失 。全部费用由承包人承担，投标时应综合考虑相关风险，该部分费用已包含在合同价款中，结算时不予调整。</w:t>
      </w:r>
    </w:p>
    <w:p w14:paraId="7A1EFC92">
      <w:pPr>
        <w:spacing w:line="360" w:lineRule="auto"/>
        <w:rPr>
          <w:rFonts w:ascii="宋体" w:hAnsi="宋体" w:cs="宋体"/>
          <w:szCs w:val="21"/>
          <w:u w:val="single"/>
        </w:rPr>
      </w:pPr>
      <w:r>
        <w:rPr>
          <w:rFonts w:hint="eastAsia" w:ascii="宋体" w:hAnsi="宋体" w:cs="宋体"/>
          <w:szCs w:val="21"/>
        </w:rPr>
        <w:t>6.6施工场地地下管线和邻近建筑物、构筑物(包括文物保护建筑)、古树名木等的保护要求和费用承担：</w:t>
      </w:r>
      <w:r>
        <w:rPr>
          <w:rFonts w:hint="eastAsia" w:ascii="宋体" w:hAnsi="宋体" w:cs="宋体"/>
          <w:b/>
          <w:szCs w:val="21"/>
          <w:u w:val="single"/>
        </w:rPr>
        <w:t>承包人应在整个施工期间采取强有力的保护措施，确保各种(包括现场周边)地下永久管线和临近建筑物、构筑物、古树名木等的安全，所需费用已包含在合同价款中，结算时不予调整。工程实施当中如因承包人原因影响现场邻近的管线、道路、建筑物、构筑物等的安全与正常使用而导致的索赔、诉讼费、指控费及其他开支时，由承包人承担一切责任与费用。</w:t>
      </w:r>
    </w:p>
    <w:p w14:paraId="562AFE35">
      <w:pPr>
        <w:spacing w:line="360" w:lineRule="auto"/>
        <w:rPr>
          <w:rFonts w:ascii="宋体" w:hAnsi="宋体" w:cs="宋体"/>
          <w:szCs w:val="21"/>
        </w:rPr>
      </w:pPr>
      <w:r>
        <w:rPr>
          <w:rFonts w:hint="eastAsia" w:ascii="宋体" w:hAnsi="宋体" w:cs="宋体"/>
          <w:szCs w:val="21"/>
        </w:rPr>
        <w:t>6.7交工前清洁施工现场的要求：</w:t>
      </w:r>
      <w:r>
        <w:rPr>
          <w:rFonts w:hint="eastAsia" w:ascii="宋体" w:hAnsi="宋体" w:cs="宋体"/>
          <w:b/>
          <w:szCs w:val="21"/>
          <w:u w:val="single"/>
        </w:rPr>
        <w:t>承包人应达到深圳市有关部门规定要求及满足工程师、发包人现场工程师要求。包括但不限于：施工场地及临时占用场地的余土、垃圾、办公及生活临时设施拆除外运；做到工完场清，并承担所需的费用。若承包人不能及时清理运走承包人的设备、剩余材料、垃圾和各种临时工程，发包人有权雇请第三方代为撤场，发生的费用全部由承包人承担；同时，对于迟延撤场的，承包人按每天人民币/万元向发包人支付违约金（违约金不足以弥补发包人损失的，承包人须另行赔偿发包人损失）。该两部分款项可以从应付工程款中扣除。</w:t>
      </w:r>
    </w:p>
    <w:p w14:paraId="0E4EEA08">
      <w:pPr>
        <w:spacing w:line="360" w:lineRule="auto"/>
        <w:rPr>
          <w:rFonts w:ascii="宋体" w:hAnsi="宋体" w:cs="宋体"/>
          <w:szCs w:val="21"/>
        </w:rPr>
      </w:pPr>
      <w:r>
        <w:rPr>
          <w:rFonts w:hint="eastAsia" w:ascii="宋体" w:hAnsi="宋体" w:cs="宋体"/>
          <w:szCs w:val="21"/>
        </w:rPr>
        <w:t>6.8约定承包人应做的其他工作及费用承担：</w:t>
      </w:r>
      <w:r>
        <w:rPr>
          <w:rFonts w:hint="eastAsia" w:ascii="宋体" w:hAnsi="宋体" w:cs="宋体"/>
          <w:b/>
          <w:szCs w:val="21"/>
          <w:u w:val="single"/>
        </w:rPr>
        <w:t>承包人未完成合同条款第二款中第2款约定的各项工作，给发包人造成损失的，承包人应赔偿发包人的损失。</w:t>
      </w:r>
    </w:p>
    <w:p w14:paraId="15C57227">
      <w:pPr>
        <w:spacing w:line="360" w:lineRule="auto"/>
        <w:jc w:val="left"/>
        <w:rPr>
          <w:rFonts w:ascii="宋体" w:hAnsi="宋体" w:cs="宋体"/>
          <w:b/>
          <w:szCs w:val="21"/>
        </w:rPr>
      </w:pPr>
      <w:r>
        <w:rPr>
          <w:rFonts w:hint="eastAsia" w:ascii="宋体" w:hAnsi="宋体" w:cs="宋体"/>
          <w:b/>
          <w:szCs w:val="21"/>
        </w:rPr>
        <w:t>三、工程管理人员</w:t>
      </w:r>
    </w:p>
    <w:p w14:paraId="78861F0D">
      <w:pPr>
        <w:spacing w:line="360" w:lineRule="auto"/>
        <w:rPr>
          <w:rFonts w:ascii="宋体" w:hAnsi="宋体" w:cs="宋体"/>
          <w:b/>
          <w:szCs w:val="21"/>
        </w:rPr>
      </w:pPr>
      <w:r>
        <w:rPr>
          <w:rFonts w:hint="eastAsia" w:ascii="宋体" w:hAnsi="宋体" w:cs="宋体"/>
          <w:b/>
          <w:szCs w:val="21"/>
        </w:rPr>
        <w:t>7工程师</w:t>
      </w:r>
    </w:p>
    <w:p w14:paraId="0C8745F6">
      <w:pPr>
        <w:spacing w:line="360" w:lineRule="auto"/>
        <w:rPr>
          <w:rFonts w:ascii="宋体" w:hAnsi="宋体" w:cs="宋体"/>
          <w:szCs w:val="21"/>
          <w:u w:val="single"/>
        </w:rPr>
      </w:pPr>
      <w:r>
        <w:rPr>
          <w:rFonts w:hint="eastAsia" w:ascii="宋体" w:hAnsi="宋体" w:cs="宋体"/>
          <w:szCs w:val="21"/>
        </w:rPr>
        <w:t>7.1发包人指定的工程师姓名：</w:t>
      </w:r>
      <w:r>
        <w:rPr>
          <w:rFonts w:hint="eastAsia" w:ascii="宋体" w:hAnsi="宋体" w:cs="宋体"/>
          <w:szCs w:val="21"/>
          <w:u w:val="single"/>
        </w:rPr>
        <w:t xml:space="preserve">     /    </w:t>
      </w:r>
    </w:p>
    <w:p w14:paraId="1A307812">
      <w:pPr>
        <w:spacing w:line="360" w:lineRule="auto"/>
        <w:rPr>
          <w:rFonts w:ascii="宋体" w:hAnsi="宋体" w:cs="宋体"/>
          <w:szCs w:val="21"/>
        </w:rPr>
      </w:pPr>
      <w:r>
        <w:rPr>
          <w:rFonts w:hint="eastAsia" w:ascii="宋体" w:hAnsi="宋体" w:cs="宋体"/>
          <w:szCs w:val="21"/>
        </w:rPr>
        <w:t>7.2工程师行使的其他需要取得发包人批准的权力：</w:t>
      </w:r>
      <w:r>
        <w:rPr>
          <w:rFonts w:hint="eastAsia" w:ascii="宋体" w:hAnsi="宋体" w:cs="宋体"/>
          <w:b/>
          <w:szCs w:val="21"/>
          <w:u w:val="single"/>
        </w:rPr>
        <w:t>详见补充条款的约定</w:t>
      </w:r>
    </w:p>
    <w:p w14:paraId="611BC161">
      <w:pPr>
        <w:spacing w:line="360" w:lineRule="auto"/>
        <w:rPr>
          <w:rFonts w:ascii="宋体" w:hAnsi="宋体" w:cs="宋体"/>
          <w:b/>
          <w:szCs w:val="21"/>
        </w:rPr>
      </w:pPr>
      <w:r>
        <w:rPr>
          <w:rFonts w:hint="eastAsia" w:ascii="宋体" w:hAnsi="宋体" w:cs="宋体"/>
          <w:b/>
          <w:szCs w:val="21"/>
        </w:rPr>
        <w:t>8项目经理</w:t>
      </w:r>
    </w:p>
    <w:p w14:paraId="6C57A02F">
      <w:pPr>
        <w:spacing w:line="360" w:lineRule="auto"/>
        <w:rPr>
          <w:rFonts w:ascii="宋体" w:hAnsi="宋体" w:cs="宋体"/>
          <w:szCs w:val="21"/>
          <w:highlight w:val="yellow"/>
          <w:u w:val="single"/>
        </w:rPr>
      </w:pPr>
      <w:r>
        <w:rPr>
          <w:rFonts w:hint="eastAsia" w:ascii="宋体" w:hAnsi="宋体" w:cs="宋体"/>
          <w:szCs w:val="21"/>
        </w:rPr>
        <w:t>8.1项目经理的姓名：</w:t>
      </w:r>
      <w:r>
        <w:rPr>
          <w:rFonts w:hint="eastAsia" w:ascii="宋体" w:hAnsi="宋体" w:cs="宋体"/>
          <w:szCs w:val="21"/>
          <w:u w:val="single"/>
        </w:rPr>
        <w:t xml:space="preserve">    /    </w:t>
      </w:r>
    </w:p>
    <w:p w14:paraId="6FBC3A3C">
      <w:pPr>
        <w:spacing w:line="360" w:lineRule="auto"/>
        <w:rPr>
          <w:rFonts w:ascii="宋体" w:hAnsi="宋体" w:cs="宋体"/>
          <w:szCs w:val="21"/>
          <w:u w:val="single"/>
        </w:rPr>
      </w:pPr>
      <w:r>
        <w:rPr>
          <w:rFonts w:hint="eastAsia" w:ascii="宋体" w:hAnsi="宋体" w:cs="宋体"/>
          <w:szCs w:val="21"/>
        </w:rPr>
        <w:t>8.2项目经理与投标文件承诺不一致或未及时到位发包人将按照下列方式对承包人进行处罚：</w:t>
      </w:r>
      <w:r>
        <w:rPr>
          <w:rFonts w:hint="eastAsia" w:ascii="宋体" w:hAnsi="宋体" w:cs="宋体"/>
          <w:b/>
          <w:szCs w:val="21"/>
          <w:u w:val="single"/>
        </w:rPr>
        <w:t>项目经理与投标承诺不一致或未及时到位，将视为承包人严重违约，发包人将向建设主管部门提出对其做不良记录的处理，并向深圳市政府主管部门提交承包人不合格履约评价。同时项目经理每延迟到位一天承包人应向发包人支付违约金10000元/天，发包人有权在工程款期中支付款及其他应付款项中扣除承包人的违约金。承包人应保证施工过程中项目管理班子的稳定，不得无故更换项目经理及技术负责人。如需更换项目经理、技术负责人等，必须征得发包人和工程师的同意且能力不得低于投标时项目经理及技术负责人的能力。</w:t>
      </w:r>
    </w:p>
    <w:p w14:paraId="142E4D80">
      <w:pPr>
        <w:spacing w:line="360" w:lineRule="auto"/>
        <w:jc w:val="left"/>
        <w:rPr>
          <w:rFonts w:ascii="宋体" w:hAnsi="宋体" w:cs="宋体"/>
          <w:b/>
          <w:szCs w:val="21"/>
        </w:rPr>
      </w:pPr>
      <w:r>
        <w:rPr>
          <w:rFonts w:hint="eastAsia" w:ascii="宋体" w:hAnsi="宋体" w:cs="宋体"/>
          <w:b/>
          <w:szCs w:val="21"/>
        </w:rPr>
        <w:t>四、转让、分包、专业工程发包</w:t>
      </w:r>
    </w:p>
    <w:p w14:paraId="0F41659A">
      <w:pPr>
        <w:spacing w:line="360" w:lineRule="auto"/>
        <w:rPr>
          <w:rFonts w:ascii="宋体" w:hAnsi="宋体" w:cs="宋体"/>
          <w:b/>
          <w:szCs w:val="21"/>
        </w:rPr>
      </w:pPr>
      <w:r>
        <w:rPr>
          <w:rFonts w:hint="eastAsia" w:ascii="宋体" w:hAnsi="宋体" w:cs="宋体"/>
          <w:b/>
          <w:szCs w:val="21"/>
        </w:rPr>
        <w:t>9分包</w:t>
      </w:r>
    </w:p>
    <w:p w14:paraId="16377EC3">
      <w:pPr>
        <w:spacing w:line="360" w:lineRule="auto"/>
        <w:rPr>
          <w:rFonts w:ascii="宋体" w:hAnsi="宋体" w:cs="宋体"/>
          <w:szCs w:val="21"/>
        </w:rPr>
      </w:pPr>
      <w:r>
        <w:rPr>
          <w:rFonts w:hint="eastAsia" w:ascii="宋体" w:hAnsi="宋体" w:cs="宋体"/>
          <w:szCs w:val="21"/>
        </w:rPr>
        <w:t>9.1经发包人批准，承包人拟将下列项目进行分包施工：</w:t>
      </w:r>
    </w:p>
    <w:p w14:paraId="6A63A122">
      <w:pPr>
        <w:widowControl/>
        <w:numPr>
          <w:ilvl w:val="0"/>
          <w:numId w:val="24"/>
        </w:numPr>
        <w:spacing w:line="360" w:lineRule="auto"/>
        <w:jc w:val="left"/>
        <w:rPr>
          <w:rFonts w:ascii="宋体" w:hAnsi="宋体" w:cs="宋体"/>
          <w:szCs w:val="21"/>
        </w:rPr>
      </w:pPr>
      <w:r>
        <w:rPr>
          <w:rFonts w:hint="eastAsia" w:ascii="宋体" w:hAnsi="宋体" w:cs="宋体"/>
          <w:szCs w:val="21"/>
        </w:rPr>
        <w:t>分包工程名称：/ 分包人：</w:t>
      </w:r>
    </w:p>
    <w:p w14:paraId="4B96491A">
      <w:pPr>
        <w:spacing w:line="360" w:lineRule="auto"/>
        <w:rPr>
          <w:rFonts w:ascii="宋体" w:hAnsi="宋体" w:cs="宋体"/>
          <w:szCs w:val="21"/>
        </w:rPr>
      </w:pPr>
      <w:r>
        <w:rPr>
          <w:rFonts w:hint="eastAsia" w:ascii="宋体" w:hAnsi="宋体" w:cs="宋体"/>
          <w:szCs w:val="21"/>
        </w:rPr>
        <w:t>(2)分包工程名称：/ 分包人：</w:t>
      </w:r>
    </w:p>
    <w:p w14:paraId="304AE39B">
      <w:pPr>
        <w:spacing w:line="360" w:lineRule="auto"/>
        <w:rPr>
          <w:rFonts w:ascii="宋体" w:hAnsi="宋体" w:cs="宋体"/>
          <w:szCs w:val="21"/>
          <w:u w:val="single"/>
        </w:rPr>
      </w:pPr>
      <w:r>
        <w:rPr>
          <w:rFonts w:hint="eastAsia" w:ascii="宋体" w:hAnsi="宋体" w:cs="宋体"/>
          <w:szCs w:val="21"/>
        </w:rPr>
        <w:t>(3)分包工程名称：/ 分包人：</w:t>
      </w:r>
    </w:p>
    <w:p w14:paraId="7777CEE4">
      <w:pPr>
        <w:spacing w:line="360" w:lineRule="auto"/>
        <w:rPr>
          <w:rFonts w:ascii="宋体" w:hAnsi="宋体" w:cs="宋体"/>
          <w:szCs w:val="21"/>
        </w:rPr>
      </w:pPr>
      <w:r>
        <w:rPr>
          <w:rFonts w:hint="eastAsia" w:ascii="宋体" w:hAnsi="宋体" w:cs="宋体"/>
          <w:szCs w:val="21"/>
        </w:rPr>
        <w:t>上述项目施工承包人进行统一管理，不解除承包人的任何责任和义务。</w:t>
      </w:r>
    </w:p>
    <w:p w14:paraId="741CBC1E">
      <w:pPr>
        <w:spacing w:line="360" w:lineRule="auto"/>
        <w:rPr>
          <w:rFonts w:ascii="宋体" w:hAnsi="宋体" w:cs="宋体"/>
          <w:b/>
          <w:szCs w:val="21"/>
        </w:rPr>
      </w:pPr>
      <w:r>
        <w:rPr>
          <w:rFonts w:hint="eastAsia" w:ascii="宋体" w:hAnsi="宋体" w:cs="宋体"/>
          <w:b/>
          <w:szCs w:val="21"/>
        </w:rPr>
        <w:t>10专业工程发包</w:t>
      </w:r>
    </w:p>
    <w:p w14:paraId="41DEEE9E">
      <w:pPr>
        <w:spacing w:line="360" w:lineRule="auto"/>
        <w:rPr>
          <w:rFonts w:ascii="宋体" w:hAnsi="宋体" w:cs="宋体"/>
          <w:szCs w:val="21"/>
        </w:rPr>
      </w:pPr>
      <w:r>
        <w:rPr>
          <w:rFonts w:hint="eastAsia" w:ascii="宋体" w:hAnsi="宋体" w:cs="宋体"/>
          <w:szCs w:val="21"/>
        </w:rPr>
        <w:t>10.1发包人将以下工程发包给专业承包人施工：</w:t>
      </w:r>
    </w:p>
    <w:p w14:paraId="192D4885">
      <w:pPr>
        <w:spacing w:line="360" w:lineRule="auto"/>
        <w:rPr>
          <w:rFonts w:ascii="宋体" w:hAnsi="宋体" w:cs="宋体"/>
          <w:szCs w:val="21"/>
        </w:rPr>
      </w:pPr>
      <w:r>
        <w:rPr>
          <w:rFonts w:hint="eastAsia" w:ascii="宋体" w:hAnsi="宋体" w:cs="宋体"/>
          <w:szCs w:val="21"/>
        </w:rPr>
        <w:t>(1)专业工程名称：/专业工程承包人：</w:t>
      </w:r>
    </w:p>
    <w:p w14:paraId="77A30406">
      <w:pPr>
        <w:spacing w:line="360" w:lineRule="auto"/>
        <w:rPr>
          <w:rFonts w:ascii="宋体" w:hAnsi="宋体" w:cs="宋体"/>
          <w:szCs w:val="21"/>
        </w:rPr>
      </w:pPr>
      <w:r>
        <w:rPr>
          <w:rFonts w:hint="eastAsia" w:ascii="宋体" w:hAnsi="宋体" w:cs="宋体"/>
          <w:szCs w:val="21"/>
        </w:rPr>
        <w:t>(2)专业工程名称：/专业工程承包人：</w:t>
      </w:r>
    </w:p>
    <w:p w14:paraId="19B8B6A0">
      <w:pPr>
        <w:spacing w:line="360" w:lineRule="auto"/>
        <w:rPr>
          <w:rFonts w:ascii="宋体" w:hAnsi="宋体" w:cs="宋体"/>
          <w:szCs w:val="21"/>
        </w:rPr>
      </w:pPr>
      <w:r>
        <w:rPr>
          <w:rFonts w:hint="eastAsia" w:ascii="宋体" w:hAnsi="宋体" w:cs="宋体"/>
          <w:szCs w:val="21"/>
        </w:rPr>
        <w:t>(3)专业工程名称：/专业工程承包人：</w:t>
      </w:r>
    </w:p>
    <w:p w14:paraId="31B6462A">
      <w:pPr>
        <w:spacing w:line="360" w:lineRule="auto"/>
        <w:jc w:val="left"/>
        <w:rPr>
          <w:rFonts w:ascii="宋体" w:hAnsi="宋体" w:cs="宋体"/>
          <w:b/>
          <w:szCs w:val="21"/>
        </w:rPr>
      </w:pPr>
      <w:r>
        <w:rPr>
          <w:rFonts w:hint="eastAsia" w:ascii="宋体" w:hAnsi="宋体" w:cs="宋体"/>
          <w:b/>
          <w:szCs w:val="21"/>
        </w:rPr>
        <w:t>五、施工准备工作</w:t>
      </w:r>
    </w:p>
    <w:p w14:paraId="25E54D04">
      <w:pPr>
        <w:spacing w:line="360" w:lineRule="auto"/>
        <w:rPr>
          <w:rFonts w:ascii="宋体" w:hAnsi="宋体" w:cs="宋体"/>
          <w:b/>
          <w:szCs w:val="21"/>
        </w:rPr>
      </w:pPr>
      <w:r>
        <w:rPr>
          <w:rFonts w:hint="eastAsia" w:ascii="宋体" w:hAnsi="宋体" w:cs="宋体"/>
          <w:b/>
          <w:szCs w:val="21"/>
        </w:rPr>
        <w:t>11施工组织设计和进度计划</w:t>
      </w:r>
    </w:p>
    <w:p w14:paraId="386E0738">
      <w:pPr>
        <w:spacing w:line="360" w:lineRule="auto"/>
        <w:rPr>
          <w:rFonts w:ascii="宋体" w:hAnsi="宋体" w:cs="宋体"/>
          <w:szCs w:val="21"/>
          <w:u w:val="single"/>
        </w:rPr>
      </w:pPr>
      <w:r>
        <w:rPr>
          <w:rFonts w:hint="eastAsia" w:ascii="宋体" w:hAnsi="宋体" w:cs="宋体"/>
          <w:szCs w:val="21"/>
        </w:rPr>
        <w:t>11.1承包人提供施工组织设计和工程进度计划的时间和要求：</w:t>
      </w:r>
      <w:r>
        <w:rPr>
          <w:rFonts w:hint="eastAsia" w:ascii="宋体" w:hAnsi="宋体" w:cs="宋体"/>
          <w:b/>
          <w:szCs w:val="21"/>
          <w:u w:val="single"/>
        </w:rPr>
        <w:t>（1）承包人签订合同且收到施工图（如有）后，应在14天内做出详细的施工组织设计，报建设单位及监理总监（如有）审批。（2）承包人应在施工组织设计中提出施工全过程的文明施工措施计划。（3）承包人应采用关键线路网络图编制本工程施工总进度网络计划（包括网络图电子文档数据），报送工程师审批。经工程师批准的施工总进度计划(称合同进度计划)，作为控制本合同工程进度的依据，并据此编制周和月进度计划报送工程师审批。 （4）承包人编制的施工总进度应满足工程开工日期、竣工日期和单项工程工期的规定。（5）不论何种原因发生工程的实际进度与第（3）条款所述的合同进度计划不符时，承包人应按工程师的指示在10天内提交一份修订的进度计划报送工程师审批，批准后的修订进度计划作为合同进度计划的补充文件。（6）工程师认为有必要时，承包人应按工程师指示的内容和期限，并根据合同进度计划的进度控制要求，编制单位工程(或部分工程)进度计划报送工程师审批。</w:t>
      </w:r>
    </w:p>
    <w:p w14:paraId="278032D3">
      <w:pPr>
        <w:spacing w:line="360" w:lineRule="auto"/>
        <w:rPr>
          <w:rFonts w:ascii="宋体" w:hAnsi="宋体" w:cs="宋体"/>
          <w:szCs w:val="21"/>
          <w:u w:val="single"/>
        </w:rPr>
      </w:pPr>
      <w:r>
        <w:rPr>
          <w:rFonts w:hint="eastAsia" w:ascii="宋体" w:hAnsi="宋体" w:cs="宋体"/>
          <w:szCs w:val="21"/>
        </w:rPr>
        <w:t>11.2工程师确认的时间：</w:t>
      </w:r>
      <w:r>
        <w:rPr>
          <w:rFonts w:hint="eastAsia" w:ascii="宋体" w:hAnsi="宋体" w:cs="宋体"/>
          <w:b/>
          <w:szCs w:val="21"/>
          <w:u w:val="single"/>
        </w:rPr>
        <w:t>工程师收到承包人提交的施工组织设计和工程进度计划后7天内，予以确认或提出修改意见。</w:t>
      </w:r>
    </w:p>
    <w:p w14:paraId="21742054">
      <w:pPr>
        <w:spacing w:line="360" w:lineRule="auto"/>
        <w:rPr>
          <w:rFonts w:ascii="宋体" w:hAnsi="宋体" w:cs="宋体"/>
          <w:szCs w:val="21"/>
          <w:u w:val="single"/>
        </w:rPr>
      </w:pPr>
      <w:r>
        <w:rPr>
          <w:rFonts w:hint="eastAsia" w:ascii="宋体" w:hAnsi="宋体" w:cs="宋体"/>
          <w:szCs w:val="21"/>
        </w:rPr>
        <w:t>11.3承包人根据工程师的合理意见提交修改后的施工组织设计和工程进度计划的时间和要求：</w:t>
      </w:r>
      <w:r>
        <w:rPr>
          <w:rFonts w:hint="eastAsia" w:ascii="宋体" w:hAnsi="宋体" w:cs="宋体"/>
          <w:b/>
          <w:szCs w:val="21"/>
          <w:u w:val="single"/>
        </w:rPr>
        <w:t>收到工程师的合理意见后7天内，提交修改后的施工组织设计和工程进度计划，并组织完成专家审查工作（如需要时）。</w:t>
      </w:r>
    </w:p>
    <w:p w14:paraId="0650957A">
      <w:pPr>
        <w:spacing w:line="360" w:lineRule="auto"/>
        <w:rPr>
          <w:rFonts w:ascii="宋体" w:hAnsi="宋体" w:cs="宋体"/>
          <w:b/>
          <w:szCs w:val="21"/>
        </w:rPr>
      </w:pPr>
      <w:r>
        <w:rPr>
          <w:rFonts w:hint="eastAsia" w:ascii="宋体" w:hAnsi="宋体" w:cs="宋体"/>
          <w:b/>
          <w:szCs w:val="21"/>
        </w:rPr>
        <w:t>12施工准备</w:t>
      </w:r>
    </w:p>
    <w:p w14:paraId="5D85F3DD">
      <w:pPr>
        <w:spacing w:line="360" w:lineRule="auto"/>
        <w:rPr>
          <w:rFonts w:ascii="宋体" w:hAnsi="宋体" w:cs="宋体"/>
          <w:szCs w:val="21"/>
          <w:u w:val="single"/>
        </w:rPr>
      </w:pPr>
      <w:r>
        <w:rPr>
          <w:rFonts w:hint="eastAsia" w:ascii="宋体" w:hAnsi="宋体" w:cs="宋体"/>
          <w:szCs w:val="21"/>
        </w:rPr>
        <w:t>12.1发包人提供给承包人的工地范围、时间及次序约定：</w:t>
      </w:r>
      <w:r>
        <w:rPr>
          <w:rFonts w:hint="eastAsia" w:ascii="宋体" w:hAnsi="宋体" w:cs="宋体"/>
          <w:b/>
          <w:szCs w:val="21"/>
          <w:u w:val="single"/>
        </w:rPr>
        <w:t>自本合同签字之日起，即视为发包人已依约向承包人提供了相应的工地，现场已具备施工条件。</w:t>
      </w:r>
    </w:p>
    <w:p w14:paraId="60FE18BC">
      <w:pPr>
        <w:spacing w:line="360" w:lineRule="auto"/>
        <w:rPr>
          <w:rFonts w:ascii="宋体" w:hAnsi="宋体" w:cs="宋体"/>
          <w:szCs w:val="21"/>
        </w:rPr>
      </w:pPr>
      <w:r>
        <w:rPr>
          <w:rFonts w:hint="eastAsia" w:ascii="宋体" w:hAnsi="宋体" w:cs="宋体"/>
          <w:szCs w:val="21"/>
        </w:rPr>
        <w:t>12.2红线外临时占地租用费用承担约定：</w:t>
      </w:r>
      <w:r>
        <w:rPr>
          <w:rFonts w:hint="eastAsia" w:ascii="宋体" w:hAnsi="宋体" w:cs="宋体"/>
          <w:b/>
          <w:szCs w:val="21"/>
          <w:u w:val="single"/>
        </w:rPr>
        <w:t>根据工程实际情况，材料堆场等需要占用红线外场所，由承包人自行申报、租用、审批、办理相关红线外临时占地租用的手续，并承担其所需的费用（含在措施费中）。发包人不再为此另外支付任何费用。</w:t>
      </w:r>
    </w:p>
    <w:p w14:paraId="15C94112">
      <w:pPr>
        <w:spacing w:line="360" w:lineRule="auto"/>
        <w:jc w:val="left"/>
        <w:rPr>
          <w:rFonts w:ascii="宋体" w:hAnsi="宋体" w:cs="宋体"/>
          <w:b/>
          <w:szCs w:val="21"/>
        </w:rPr>
      </w:pPr>
      <w:r>
        <w:rPr>
          <w:rFonts w:hint="eastAsia" w:ascii="宋体" w:hAnsi="宋体" w:cs="宋体"/>
          <w:b/>
          <w:szCs w:val="21"/>
        </w:rPr>
        <w:t>六、开工、竣工、工期和暂时停工</w:t>
      </w:r>
    </w:p>
    <w:p w14:paraId="3DDF7094">
      <w:pPr>
        <w:spacing w:line="360" w:lineRule="auto"/>
        <w:rPr>
          <w:rFonts w:ascii="宋体" w:hAnsi="宋体" w:cs="宋体"/>
          <w:b/>
          <w:szCs w:val="21"/>
        </w:rPr>
      </w:pPr>
      <w:r>
        <w:rPr>
          <w:rFonts w:hint="eastAsia" w:ascii="宋体" w:hAnsi="宋体" w:cs="宋体"/>
          <w:b/>
          <w:szCs w:val="21"/>
        </w:rPr>
        <w:t>13工期及延误</w:t>
      </w:r>
    </w:p>
    <w:p w14:paraId="61CE4148">
      <w:pPr>
        <w:spacing w:line="360" w:lineRule="auto"/>
        <w:rPr>
          <w:rFonts w:ascii="宋体" w:hAnsi="宋体" w:cs="宋体"/>
          <w:szCs w:val="21"/>
          <w:u w:val="single"/>
        </w:rPr>
      </w:pPr>
      <w:r>
        <w:rPr>
          <w:rFonts w:hint="eastAsia" w:ascii="宋体" w:hAnsi="宋体" w:cs="宋体"/>
          <w:szCs w:val="21"/>
        </w:rPr>
        <w:t>13.1单项工程工期约定：</w:t>
      </w:r>
      <w:r>
        <w:rPr>
          <w:rFonts w:hint="eastAsia" w:ascii="宋体" w:hAnsi="宋体" w:cs="宋体"/>
          <w:szCs w:val="21"/>
          <w:u w:val="single"/>
        </w:rPr>
        <w:t>/</w:t>
      </w:r>
    </w:p>
    <w:p w14:paraId="3024A95A">
      <w:pPr>
        <w:spacing w:line="360" w:lineRule="auto"/>
        <w:rPr>
          <w:rFonts w:ascii="宋体" w:hAnsi="宋体" w:cs="宋体"/>
          <w:szCs w:val="21"/>
          <w:u w:val="single"/>
        </w:rPr>
      </w:pPr>
      <w:r>
        <w:rPr>
          <w:rFonts w:hint="eastAsia" w:ascii="宋体" w:hAnsi="宋体" w:cs="宋体"/>
          <w:szCs w:val="21"/>
        </w:rPr>
        <w:t>13.2提前竣工奖励费及限额约定：</w:t>
      </w:r>
      <w:r>
        <w:rPr>
          <w:rFonts w:hint="eastAsia" w:ascii="宋体" w:hAnsi="宋体" w:cs="宋体"/>
          <w:szCs w:val="21"/>
          <w:u w:val="single"/>
        </w:rPr>
        <w:t>/</w:t>
      </w:r>
    </w:p>
    <w:p w14:paraId="2D0D6737">
      <w:pPr>
        <w:spacing w:line="360" w:lineRule="auto"/>
        <w:rPr>
          <w:rFonts w:ascii="宋体" w:hAnsi="宋体" w:cs="宋体"/>
          <w:szCs w:val="21"/>
        </w:rPr>
      </w:pPr>
      <w:r>
        <w:rPr>
          <w:rFonts w:hint="eastAsia" w:ascii="宋体" w:hAnsi="宋体" w:cs="宋体"/>
          <w:szCs w:val="21"/>
        </w:rPr>
        <w:t>13.3延期损失赔偿费及限额约定：</w:t>
      </w:r>
      <w:r>
        <w:rPr>
          <w:rFonts w:hint="eastAsia" w:ascii="宋体" w:hAnsi="宋体" w:cs="宋体"/>
          <w:szCs w:val="21"/>
          <w:u w:val="single"/>
        </w:rPr>
        <w:t>除因发包人、不可抗力或非因承包人的原因导致政府相关部门及司法部门责令工程停工造成工期延误外，承包人不能在工期内完成约定的全部工作任务并通过竣工验收的，</w:t>
      </w:r>
      <w:r>
        <w:rPr>
          <w:rFonts w:hint="eastAsia" w:ascii="宋体" w:hAnsi="宋体" w:cs="宋体"/>
          <w:b/>
          <w:szCs w:val="21"/>
          <w:u w:val="single"/>
        </w:rPr>
        <w:t>每延期一天，承包人支付人民币3000元违约金，最多 10万元 。</w:t>
      </w:r>
      <w:r>
        <w:rPr>
          <w:rFonts w:hint="eastAsia" w:ascii="宋体" w:hAnsi="宋体" w:cs="宋体"/>
          <w:szCs w:val="21"/>
          <w:u w:val="single"/>
        </w:rPr>
        <w:t>延期违约金达到最高限额的，发包人有权解除合同，发包人解除合同的，承包人还应承担由于未按时竣工给发包人造成的全部损失向发包人支付违约金，同时发包人保留继续追究承包人相关责任的权利。</w:t>
      </w:r>
    </w:p>
    <w:p w14:paraId="422FE5ED">
      <w:pPr>
        <w:spacing w:line="360" w:lineRule="auto"/>
        <w:rPr>
          <w:rFonts w:ascii="宋体" w:hAnsi="宋体" w:cs="宋体"/>
          <w:szCs w:val="21"/>
          <w:u w:val="single"/>
        </w:rPr>
      </w:pPr>
      <w:r>
        <w:rPr>
          <w:rFonts w:hint="eastAsia" w:ascii="宋体" w:hAnsi="宋体" w:cs="宋体"/>
          <w:szCs w:val="21"/>
        </w:rPr>
        <w:t>13.4 发包人要求压缩工期时补偿费用的约定：</w:t>
      </w:r>
      <w:r>
        <w:rPr>
          <w:rFonts w:hint="eastAsia" w:ascii="宋体" w:hAnsi="宋体" w:cs="宋体"/>
          <w:szCs w:val="21"/>
          <w:u w:val="single"/>
        </w:rPr>
        <w:t xml:space="preserve">       /       </w:t>
      </w:r>
    </w:p>
    <w:p w14:paraId="150D8D2E">
      <w:pPr>
        <w:spacing w:line="360" w:lineRule="auto"/>
        <w:jc w:val="left"/>
        <w:rPr>
          <w:rFonts w:ascii="宋体" w:hAnsi="宋体" w:cs="宋体"/>
          <w:b/>
          <w:szCs w:val="21"/>
        </w:rPr>
      </w:pPr>
      <w:r>
        <w:rPr>
          <w:rFonts w:hint="eastAsia" w:ascii="宋体" w:hAnsi="宋体" w:cs="宋体"/>
          <w:b/>
          <w:szCs w:val="21"/>
        </w:rPr>
        <w:t>七、材料、设备供应</w:t>
      </w:r>
    </w:p>
    <w:p w14:paraId="44D5DA59">
      <w:pPr>
        <w:spacing w:line="360" w:lineRule="auto"/>
        <w:rPr>
          <w:rFonts w:ascii="宋体" w:hAnsi="宋体" w:cs="宋体"/>
          <w:b/>
          <w:szCs w:val="21"/>
        </w:rPr>
      </w:pPr>
      <w:r>
        <w:rPr>
          <w:rFonts w:hint="eastAsia" w:ascii="宋体" w:hAnsi="宋体" w:cs="宋体"/>
          <w:b/>
          <w:szCs w:val="21"/>
        </w:rPr>
        <w:t>14发包人供应材料设备</w:t>
      </w:r>
    </w:p>
    <w:p w14:paraId="59263708">
      <w:pPr>
        <w:spacing w:line="360" w:lineRule="auto"/>
        <w:rPr>
          <w:rFonts w:ascii="宋体" w:hAnsi="宋体" w:cs="宋体"/>
          <w:szCs w:val="21"/>
          <w:u w:val="single"/>
        </w:rPr>
      </w:pPr>
      <w:r>
        <w:rPr>
          <w:rFonts w:hint="eastAsia" w:ascii="宋体" w:hAnsi="宋体" w:cs="宋体"/>
          <w:szCs w:val="21"/>
        </w:rPr>
        <w:t>14.1发包人供应材料设备清单：</w:t>
      </w:r>
      <w:r>
        <w:rPr>
          <w:rFonts w:hint="eastAsia" w:ascii="宋体" w:hAnsi="宋体" w:cs="宋体"/>
          <w:bCs/>
          <w:szCs w:val="21"/>
          <w:u w:val="single"/>
        </w:rPr>
        <w:t>/</w:t>
      </w:r>
    </w:p>
    <w:p w14:paraId="6F6C106B">
      <w:pPr>
        <w:spacing w:line="360" w:lineRule="auto"/>
        <w:rPr>
          <w:rFonts w:ascii="宋体" w:hAnsi="宋体" w:cs="宋体"/>
          <w:szCs w:val="21"/>
          <w:u w:val="single"/>
        </w:rPr>
      </w:pPr>
      <w:r>
        <w:rPr>
          <w:rFonts w:hint="eastAsia" w:ascii="宋体" w:hAnsi="宋体" w:cs="宋体"/>
          <w:szCs w:val="21"/>
        </w:rPr>
        <w:t>14.2发包人供应材料设备的结算</w:t>
      </w:r>
      <w:r>
        <w:rPr>
          <w:rFonts w:hint="eastAsia" w:ascii="宋体" w:hAnsi="宋体" w:cs="宋体"/>
          <w:bCs/>
          <w:szCs w:val="21"/>
        </w:rPr>
        <w:t>方式：</w:t>
      </w:r>
      <w:r>
        <w:rPr>
          <w:rFonts w:hint="eastAsia" w:ascii="宋体" w:hAnsi="宋体" w:cs="宋体"/>
          <w:bCs/>
          <w:szCs w:val="21"/>
          <w:u w:val="single"/>
        </w:rPr>
        <w:t>/</w:t>
      </w:r>
    </w:p>
    <w:p w14:paraId="7990DE20">
      <w:pPr>
        <w:spacing w:line="360" w:lineRule="auto"/>
        <w:rPr>
          <w:rFonts w:ascii="宋体" w:hAnsi="宋体" w:cs="宋体"/>
          <w:b/>
          <w:szCs w:val="21"/>
        </w:rPr>
      </w:pPr>
      <w:r>
        <w:rPr>
          <w:rFonts w:hint="eastAsia" w:ascii="宋体" w:hAnsi="宋体" w:cs="宋体"/>
          <w:b/>
          <w:szCs w:val="21"/>
        </w:rPr>
        <w:t>15承包人采购材料设备</w:t>
      </w:r>
    </w:p>
    <w:p w14:paraId="63C82C1B">
      <w:pPr>
        <w:spacing w:line="360" w:lineRule="auto"/>
        <w:rPr>
          <w:rFonts w:ascii="宋体" w:hAnsi="宋体" w:cs="宋体"/>
          <w:b/>
          <w:szCs w:val="21"/>
          <w:u w:val="single"/>
          <w:lang w:val="zh-CN"/>
        </w:rPr>
      </w:pPr>
      <w:r>
        <w:rPr>
          <w:rFonts w:hint="eastAsia" w:ascii="宋体" w:hAnsi="宋体" w:cs="宋体"/>
          <w:szCs w:val="21"/>
        </w:rPr>
        <w:t>15.1承包人采购材料设备的约定：</w:t>
      </w:r>
      <w:r>
        <w:rPr>
          <w:rFonts w:hint="eastAsia" w:ascii="宋体" w:hAnsi="宋体" w:cs="宋体"/>
          <w:b/>
          <w:szCs w:val="21"/>
          <w:u w:val="single"/>
          <w:lang w:val="zh-CN"/>
        </w:rPr>
        <w:t>1、承包人必须保证其使用的材料、设备是用优质原料和先进工艺制成、全新、并完全符合设计文件和合同文件规定的质量、规格和性能的要求。在主要材料设备进场前必须获得发包人和监理工程师的书面认可，若同一材料的使用申请报送三次仍不符合发包人和监理工程师书面签字认可，发包人有权指定材料样板供承包人采购，造成的工期延误由承包人负责。</w:t>
      </w:r>
    </w:p>
    <w:p w14:paraId="6E0F5892">
      <w:pPr>
        <w:spacing w:line="360" w:lineRule="auto"/>
        <w:rPr>
          <w:rFonts w:ascii="宋体" w:hAnsi="宋体" w:cs="宋体"/>
          <w:b/>
          <w:szCs w:val="21"/>
          <w:u w:val="single"/>
          <w:lang w:val="zh-CN"/>
        </w:rPr>
      </w:pPr>
      <w:r>
        <w:rPr>
          <w:rFonts w:hint="eastAsia" w:ascii="宋体" w:hAnsi="宋体" w:cs="宋体"/>
          <w:b/>
          <w:szCs w:val="21"/>
          <w:u w:val="single"/>
          <w:lang w:val="zh-CN"/>
        </w:rPr>
        <w:t>2、本工程的原材料、半成品必须达到环保要求，并经过甲方认定方可使用。</w:t>
      </w:r>
    </w:p>
    <w:p w14:paraId="1676A1F4">
      <w:pPr>
        <w:spacing w:line="360" w:lineRule="auto"/>
        <w:rPr>
          <w:rFonts w:ascii="宋体" w:hAnsi="宋体" w:cs="宋体"/>
          <w:b/>
          <w:szCs w:val="21"/>
        </w:rPr>
      </w:pPr>
      <w:r>
        <w:rPr>
          <w:rFonts w:hint="eastAsia" w:ascii="宋体" w:hAnsi="宋体" w:cs="宋体"/>
          <w:b/>
          <w:szCs w:val="21"/>
        </w:rPr>
        <w:t>16材料设备的检验</w:t>
      </w:r>
    </w:p>
    <w:p w14:paraId="2EB7DAA2">
      <w:pPr>
        <w:spacing w:line="360" w:lineRule="auto"/>
        <w:rPr>
          <w:rFonts w:ascii="宋体" w:hAnsi="宋体" w:cs="宋体"/>
          <w:szCs w:val="21"/>
        </w:rPr>
      </w:pPr>
      <w:r>
        <w:rPr>
          <w:rFonts w:hint="eastAsia" w:ascii="宋体" w:hAnsi="宋体" w:cs="宋体"/>
          <w:szCs w:val="21"/>
        </w:rPr>
        <w:t>16.1检验费用的约定：</w:t>
      </w:r>
    </w:p>
    <w:p w14:paraId="2D045E64">
      <w:pPr>
        <w:spacing w:line="360" w:lineRule="auto"/>
        <w:rPr>
          <w:rFonts w:ascii="宋体" w:hAnsi="宋体" w:cs="宋体"/>
          <w:szCs w:val="21"/>
        </w:rPr>
      </w:pPr>
      <w:r>
        <w:rPr>
          <w:rFonts w:hint="eastAsia" w:ascii="宋体" w:hAnsi="宋体" w:cs="宋体"/>
          <w:szCs w:val="21"/>
        </w:rPr>
        <w:t>(1)</w:t>
      </w:r>
      <w:r>
        <w:rPr>
          <w:rFonts w:hint="eastAsia" w:ascii="宋体" w:hAnsi="宋体" w:cs="宋体"/>
          <w:bCs/>
          <w:szCs w:val="21"/>
        </w:rPr>
        <w:t>发</w:t>
      </w:r>
      <w:r>
        <w:rPr>
          <w:rFonts w:hint="eastAsia" w:ascii="宋体" w:hAnsi="宋体" w:cs="宋体"/>
          <w:szCs w:val="21"/>
        </w:rPr>
        <w:t>包人承担检验费用的材料、设备：</w:t>
      </w:r>
    </w:p>
    <w:p w14:paraId="0E9706E1">
      <w:pPr>
        <w:spacing w:line="360" w:lineRule="auto"/>
        <w:rPr>
          <w:rFonts w:ascii="宋体" w:hAnsi="宋体" w:cs="宋体"/>
          <w:szCs w:val="21"/>
          <w:u w:val="single"/>
        </w:rPr>
      </w:pPr>
      <w:r>
        <w:rPr>
          <w:rFonts w:hint="eastAsia" w:ascii="宋体" w:hAnsi="宋体" w:cs="宋体"/>
          <w:b/>
          <w:szCs w:val="21"/>
          <w:u w:val="single"/>
        </w:rPr>
        <w:t>发包人不承担任何材料设备的检测费用。</w:t>
      </w:r>
    </w:p>
    <w:p w14:paraId="1A93E6A9">
      <w:pPr>
        <w:spacing w:line="360" w:lineRule="auto"/>
        <w:rPr>
          <w:rFonts w:ascii="宋体" w:hAnsi="宋体" w:cs="宋体"/>
          <w:szCs w:val="21"/>
        </w:rPr>
      </w:pPr>
      <w:r>
        <w:rPr>
          <w:rFonts w:hint="eastAsia" w:ascii="宋体" w:hAnsi="宋体" w:cs="宋体"/>
          <w:szCs w:val="21"/>
        </w:rPr>
        <w:t>(2)</w:t>
      </w:r>
      <w:r>
        <w:rPr>
          <w:rFonts w:hint="eastAsia" w:ascii="宋体" w:hAnsi="宋体" w:cs="宋体"/>
          <w:bCs/>
          <w:szCs w:val="21"/>
        </w:rPr>
        <w:t>承</w:t>
      </w:r>
      <w:r>
        <w:rPr>
          <w:rFonts w:hint="eastAsia" w:ascii="宋体" w:hAnsi="宋体" w:cs="宋体"/>
          <w:szCs w:val="21"/>
        </w:rPr>
        <w:t>包人承担检验费用的材料、设备：</w:t>
      </w:r>
    </w:p>
    <w:p w14:paraId="75E0A44A">
      <w:pPr>
        <w:spacing w:line="360" w:lineRule="auto"/>
        <w:rPr>
          <w:rFonts w:ascii="宋体" w:hAnsi="宋体" w:cs="宋体"/>
          <w:szCs w:val="21"/>
        </w:rPr>
      </w:pPr>
      <w:r>
        <w:rPr>
          <w:rFonts w:hint="eastAsia" w:ascii="宋体" w:hAnsi="宋体" w:cs="宋体"/>
          <w:b/>
          <w:szCs w:val="21"/>
          <w:u w:val="single"/>
        </w:rPr>
        <w:t>承包人承担工程施工图纸涉及到的所有材料设备、现场施工工序的试验、检验费用以及质量监督部门按一定比例抽取现场检验费用。发包人有权对承包人供应的材料设备进行再次送检，检验合格检验费由发包人承担，检验不合格检测费用由承包人承担。</w:t>
      </w:r>
    </w:p>
    <w:p w14:paraId="483A1408">
      <w:pPr>
        <w:spacing w:line="360" w:lineRule="auto"/>
        <w:jc w:val="left"/>
        <w:rPr>
          <w:rFonts w:ascii="宋体" w:hAnsi="宋体" w:cs="宋体"/>
          <w:b/>
          <w:szCs w:val="21"/>
        </w:rPr>
      </w:pPr>
      <w:r>
        <w:rPr>
          <w:rFonts w:hint="eastAsia" w:ascii="宋体" w:hAnsi="宋体" w:cs="宋体"/>
          <w:b/>
          <w:szCs w:val="21"/>
        </w:rPr>
        <w:t>八、质量、安全和文明施工</w:t>
      </w:r>
    </w:p>
    <w:p w14:paraId="0AD4C30F">
      <w:pPr>
        <w:spacing w:line="360" w:lineRule="auto"/>
        <w:rPr>
          <w:rFonts w:ascii="宋体" w:hAnsi="宋体" w:cs="宋体"/>
          <w:b/>
          <w:szCs w:val="21"/>
        </w:rPr>
      </w:pPr>
      <w:r>
        <w:rPr>
          <w:rFonts w:hint="eastAsia" w:ascii="宋体" w:hAnsi="宋体" w:cs="宋体"/>
          <w:b/>
          <w:szCs w:val="21"/>
        </w:rPr>
        <w:t>17工程试车</w:t>
      </w:r>
    </w:p>
    <w:p w14:paraId="1B5284FE">
      <w:pPr>
        <w:spacing w:line="360" w:lineRule="auto"/>
        <w:rPr>
          <w:rFonts w:ascii="宋体" w:hAnsi="宋体" w:cs="宋体"/>
          <w:szCs w:val="21"/>
          <w:u w:val="single"/>
        </w:rPr>
      </w:pPr>
      <w:r>
        <w:rPr>
          <w:rFonts w:hint="eastAsia" w:ascii="宋体" w:hAnsi="宋体" w:cs="宋体"/>
          <w:szCs w:val="21"/>
        </w:rPr>
        <w:t>17.1工程试车内容和费用承担：</w:t>
      </w:r>
      <w:r>
        <w:rPr>
          <w:rFonts w:hint="eastAsia" w:ascii="宋体" w:hAnsi="宋体" w:cs="宋体"/>
          <w:bCs/>
          <w:szCs w:val="21"/>
          <w:u w:val="single"/>
        </w:rPr>
        <w:t>/</w:t>
      </w:r>
    </w:p>
    <w:p w14:paraId="3C589F8F">
      <w:pPr>
        <w:spacing w:line="360" w:lineRule="auto"/>
        <w:rPr>
          <w:rFonts w:ascii="宋体" w:hAnsi="宋体" w:cs="宋体"/>
          <w:b/>
          <w:szCs w:val="21"/>
        </w:rPr>
      </w:pPr>
      <w:r>
        <w:rPr>
          <w:rFonts w:hint="eastAsia" w:ascii="宋体" w:hAnsi="宋体" w:cs="宋体"/>
          <w:b/>
          <w:szCs w:val="21"/>
        </w:rPr>
        <w:t>18余泥渣土运输车辆要求</w:t>
      </w:r>
    </w:p>
    <w:p w14:paraId="191746DF">
      <w:pPr>
        <w:spacing w:line="360" w:lineRule="auto"/>
        <w:rPr>
          <w:rFonts w:ascii="宋体" w:hAnsi="宋体" w:cs="宋体"/>
          <w:szCs w:val="21"/>
        </w:rPr>
      </w:pPr>
      <w:r>
        <w:rPr>
          <w:rFonts w:hint="eastAsia" w:ascii="宋体" w:hAnsi="宋体" w:cs="宋体"/>
          <w:szCs w:val="21"/>
        </w:rPr>
        <w:t>18.1在承包人具备营运资格时，其安排的</w:t>
      </w:r>
      <w:r>
        <w:rPr>
          <w:rFonts w:hint="eastAsia" w:ascii="宋体" w:hAnsi="宋体" w:cs="宋体"/>
          <w:kern w:val="0"/>
          <w:szCs w:val="21"/>
        </w:rPr>
        <w:t>余泥渣土运输</w:t>
      </w:r>
      <w:r>
        <w:rPr>
          <w:rFonts w:hint="eastAsia" w:ascii="宋体" w:hAnsi="宋体" w:cs="宋体"/>
          <w:szCs w:val="21"/>
        </w:rPr>
        <w:t>车辆的专职司机姓名和对应车牌号码：/</w:t>
      </w:r>
    </w:p>
    <w:p w14:paraId="688247CD">
      <w:pPr>
        <w:spacing w:line="360" w:lineRule="auto"/>
        <w:rPr>
          <w:rFonts w:ascii="宋体" w:hAnsi="宋体" w:cs="宋体"/>
          <w:szCs w:val="21"/>
        </w:rPr>
      </w:pPr>
      <w:r>
        <w:rPr>
          <w:rFonts w:hint="eastAsia" w:ascii="宋体" w:hAnsi="宋体" w:cs="宋体"/>
          <w:szCs w:val="21"/>
        </w:rPr>
        <w:t>18.2承包人指定专职检查人员：</w:t>
      </w:r>
    </w:p>
    <w:p w14:paraId="24871CB6">
      <w:pPr>
        <w:spacing w:line="360" w:lineRule="auto"/>
        <w:rPr>
          <w:rFonts w:ascii="宋体" w:hAnsi="宋体" w:cs="宋体"/>
          <w:szCs w:val="21"/>
        </w:rPr>
      </w:pPr>
      <w:r>
        <w:rPr>
          <w:rFonts w:hint="eastAsia" w:ascii="宋体" w:hAnsi="宋体" w:cs="宋体"/>
          <w:szCs w:val="21"/>
        </w:rPr>
        <w:t>检查内容：</w:t>
      </w:r>
    </w:p>
    <w:p w14:paraId="08A54561">
      <w:pPr>
        <w:spacing w:line="360" w:lineRule="auto"/>
        <w:rPr>
          <w:rFonts w:ascii="宋体" w:hAnsi="宋体" w:cs="宋体"/>
          <w:szCs w:val="21"/>
        </w:rPr>
      </w:pPr>
      <w:r>
        <w:rPr>
          <w:rFonts w:hint="eastAsia" w:ascii="宋体" w:hAnsi="宋体" w:cs="宋体"/>
          <w:b/>
          <w:szCs w:val="21"/>
          <w:u w:val="single"/>
        </w:rPr>
        <w:t>合同及相关法规规定的承包人应负责的全部内容。</w:t>
      </w:r>
    </w:p>
    <w:p w14:paraId="3841F53B">
      <w:pPr>
        <w:spacing w:line="360" w:lineRule="auto"/>
        <w:rPr>
          <w:rFonts w:ascii="宋体" w:hAnsi="宋体" w:cs="宋体"/>
          <w:szCs w:val="21"/>
        </w:rPr>
      </w:pPr>
      <w:r>
        <w:rPr>
          <w:rFonts w:hint="eastAsia" w:ascii="宋体" w:hAnsi="宋体" w:cs="宋体"/>
          <w:szCs w:val="21"/>
        </w:rPr>
        <w:t>18.3承包人指定的专职检查人员未履行合同约定的检查纠正职责，承包人应按下</w:t>
      </w:r>
      <w:r>
        <w:rPr>
          <w:rFonts w:hint="eastAsia" w:ascii="宋体" w:hAnsi="宋体" w:cs="宋体"/>
          <w:bCs/>
          <w:szCs w:val="21"/>
        </w:rPr>
        <w:t>列标准支付</w:t>
      </w:r>
      <w:r>
        <w:rPr>
          <w:rFonts w:hint="eastAsia" w:ascii="宋体" w:hAnsi="宋体" w:cs="宋体"/>
          <w:szCs w:val="21"/>
          <w:u w:val="single"/>
        </w:rPr>
        <w:t>违约金</w:t>
      </w:r>
      <w:r>
        <w:rPr>
          <w:rFonts w:hint="eastAsia" w:ascii="宋体" w:hAnsi="宋体" w:cs="宋体"/>
          <w:bCs/>
          <w:szCs w:val="21"/>
        </w:rPr>
        <w:t>：人民币</w:t>
      </w:r>
      <w:r>
        <w:rPr>
          <w:rFonts w:hint="eastAsia" w:ascii="宋体" w:hAnsi="宋体" w:cs="宋体"/>
          <w:b/>
          <w:bCs/>
          <w:szCs w:val="21"/>
          <w:u w:val="single"/>
        </w:rPr>
        <w:t>/</w:t>
      </w:r>
      <w:r>
        <w:rPr>
          <w:rFonts w:hint="eastAsia" w:ascii="宋体" w:hAnsi="宋体" w:cs="宋体"/>
          <w:bCs/>
          <w:szCs w:val="21"/>
        </w:rPr>
        <w:t>万元整。</w:t>
      </w:r>
    </w:p>
    <w:p w14:paraId="1A4F8DC9">
      <w:pPr>
        <w:spacing w:line="360" w:lineRule="auto"/>
        <w:jc w:val="left"/>
        <w:rPr>
          <w:rFonts w:ascii="宋体" w:hAnsi="宋体" w:cs="宋体"/>
          <w:b/>
          <w:szCs w:val="21"/>
        </w:rPr>
      </w:pPr>
      <w:r>
        <w:rPr>
          <w:rFonts w:hint="eastAsia" w:ascii="宋体" w:hAnsi="宋体" w:cs="宋体"/>
          <w:b/>
          <w:szCs w:val="21"/>
        </w:rPr>
        <w:t>九、合同价款、工程量确认和工程款支付</w:t>
      </w:r>
    </w:p>
    <w:p w14:paraId="0686FEDC">
      <w:pPr>
        <w:spacing w:line="360" w:lineRule="auto"/>
        <w:rPr>
          <w:rFonts w:ascii="宋体" w:hAnsi="宋体" w:cs="宋体"/>
          <w:b/>
          <w:szCs w:val="21"/>
        </w:rPr>
      </w:pPr>
      <w:r>
        <w:rPr>
          <w:rFonts w:hint="eastAsia" w:ascii="宋体" w:hAnsi="宋体" w:cs="宋体"/>
          <w:b/>
          <w:szCs w:val="21"/>
        </w:rPr>
        <w:t>19合同价款</w:t>
      </w:r>
    </w:p>
    <w:p w14:paraId="3B91EC77">
      <w:pPr>
        <w:spacing w:line="360" w:lineRule="auto"/>
        <w:rPr>
          <w:rFonts w:ascii="宋体" w:hAnsi="宋体" w:cs="宋体"/>
          <w:szCs w:val="21"/>
        </w:rPr>
      </w:pPr>
      <w:r>
        <w:rPr>
          <w:rFonts w:hint="eastAsia" w:ascii="宋体" w:hAnsi="宋体" w:cs="宋体"/>
          <w:szCs w:val="21"/>
        </w:rPr>
        <w:t>19.1根据本工程的具体实际，用于本工程的某种材料价款总额虽然未达到合同价款的8%，但在本工程中为重要材料，也属于主要材料,</w:t>
      </w:r>
      <w:r>
        <w:rPr>
          <w:rFonts w:hint="eastAsia" w:ascii="宋体" w:hAnsi="宋体" w:cs="宋体"/>
          <w:b/>
          <w:bCs/>
          <w:szCs w:val="21"/>
          <w:u w:val="single"/>
        </w:rPr>
        <w:t>上述材料、人工不调差。</w:t>
      </w:r>
    </w:p>
    <w:p w14:paraId="2A42B804">
      <w:pPr>
        <w:spacing w:line="360" w:lineRule="auto"/>
        <w:ind w:firstLine="420" w:firstLineChars="200"/>
        <w:rPr>
          <w:rFonts w:ascii="宋体" w:hAnsi="宋体" w:cs="宋体"/>
          <w:szCs w:val="21"/>
        </w:rPr>
      </w:pPr>
      <w:r>
        <w:rPr>
          <w:rFonts w:hint="eastAsia" w:ascii="宋体" w:hAnsi="宋体" w:cs="宋体"/>
          <w:szCs w:val="21"/>
        </w:rPr>
        <w:t>除下表约定之外的用于本工程的主要材料由于非承包人原因出现价格变动时，合同价款可以按照通用条款的规定予以调整：</w:t>
      </w:r>
    </w:p>
    <w:tbl>
      <w:tblPr>
        <w:tblStyle w:val="50"/>
        <w:tblW w:w="6103" w:type="dxa"/>
        <w:jc w:val="center"/>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5040"/>
      </w:tblGrid>
      <w:tr w14:paraId="06A17B68">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063" w:type="dxa"/>
            <w:vAlign w:val="center"/>
          </w:tcPr>
          <w:p w14:paraId="3ADAE3EF">
            <w:pPr>
              <w:spacing w:line="360" w:lineRule="auto"/>
              <w:ind w:left="-107" w:leftChars="-51" w:right="-107" w:rightChars="-51"/>
              <w:jc w:val="center"/>
              <w:rPr>
                <w:rFonts w:ascii="宋体" w:hAnsi="宋体" w:cs="宋体"/>
                <w:szCs w:val="21"/>
              </w:rPr>
            </w:pPr>
            <w:r>
              <w:rPr>
                <w:rFonts w:hint="eastAsia" w:ascii="宋体" w:hAnsi="宋体" w:cs="宋体"/>
                <w:szCs w:val="21"/>
              </w:rPr>
              <w:t>序号</w:t>
            </w:r>
          </w:p>
        </w:tc>
        <w:tc>
          <w:tcPr>
            <w:tcW w:w="5040" w:type="dxa"/>
            <w:vAlign w:val="center"/>
          </w:tcPr>
          <w:p w14:paraId="45350DC5">
            <w:pPr>
              <w:spacing w:line="360" w:lineRule="auto"/>
              <w:ind w:left="-107" w:leftChars="-51" w:right="-107" w:rightChars="-51"/>
              <w:jc w:val="center"/>
              <w:rPr>
                <w:rFonts w:ascii="宋体" w:hAnsi="宋体" w:cs="宋体"/>
                <w:szCs w:val="21"/>
              </w:rPr>
            </w:pPr>
            <w:r>
              <w:rPr>
                <w:rFonts w:hint="eastAsia" w:ascii="宋体" w:hAnsi="宋体" w:cs="宋体"/>
                <w:szCs w:val="21"/>
              </w:rPr>
              <w:t>不调整价差的材料名称和规格</w:t>
            </w:r>
          </w:p>
        </w:tc>
      </w:tr>
      <w:tr w14:paraId="6A67ABB8">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1063" w:type="dxa"/>
          </w:tcPr>
          <w:p w14:paraId="48EF84CD">
            <w:pPr>
              <w:spacing w:line="360" w:lineRule="auto"/>
              <w:jc w:val="center"/>
              <w:rPr>
                <w:rFonts w:ascii="宋体" w:hAnsi="宋体" w:cs="宋体"/>
                <w:szCs w:val="21"/>
              </w:rPr>
            </w:pPr>
            <w:r>
              <w:rPr>
                <w:rFonts w:hint="eastAsia" w:ascii="宋体" w:hAnsi="宋体" w:cs="宋体"/>
                <w:szCs w:val="21"/>
              </w:rPr>
              <w:t>/</w:t>
            </w:r>
          </w:p>
        </w:tc>
        <w:tc>
          <w:tcPr>
            <w:tcW w:w="5040" w:type="dxa"/>
          </w:tcPr>
          <w:p w14:paraId="475EDE8C">
            <w:pPr>
              <w:spacing w:line="360" w:lineRule="auto"/>
              <w:jc w:val="center"/>
              <w:rPr>
                <w:rFonts w:ascii="宋体" w:hAnsi="宋体" w:cs="宋体"/>
                <w:szCs w:val="21"/>
              </w:rPr>
            </w:pPr>
            <w:r>
              <w:rPr>
                <w:rFonts w:hint="eastAsia" w:ascii="宋体" w:hAnsi="宋体" w:cs="宋体"/>
                <w:szCs w:val="21"/>
              </w:rPr>
              <w:t>/</w:t>
            </w:r>
          </w:p>
        </w:tc>
      </w:tr>
      <w:tr w14:paraId="10AD4BF6">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63" w:type="dxa"/>
          </w:tcPr>
          <w:p w14:paraId="3FACB35A">
            <w:pPr>
              <w:spacing w:line="360" w:lineRule="auto"/>
              <w:jc w:val="center"/>
              <w:rPr>
                <w:rFonts w:ascii="宋体" w:hAnsi="宋体" w:cs="宋体"/>
                <w:szCs w:val="21"/>
              </w:rPr>
            </w:pPr>
            <w:r>
              <w:rPr>
                <w:rFonts w:hint="eastAsia" w:ascii="宋体" w:hAnsi="宋体" w:cs="宋体"/>
                <w:szCs w:val="21"/>
              </w:rPr>
              <w:t>/</w:t>
            </w:r>
          </w:p>
        </w:tc>
        <w:tc>
          <w:tcPr>
            <w:tcW w:w="5040" w:type="dxa"/>
          </w:tcPr>
          <w:p w14:paraId="4995B1AC">
            <w:pPr>
              <w:spacing w:line="360" w:lineRule="auto"/>
              <w:jc w:val="center"/>
              <w:rPr>
                <w:rFonts w:ascii="宋体" w:hAnsi="宋体" w:cs="宋体"/>
                <w:szCs w:val="21"/>
              </w:rPr>
            </w:pPr>
            <w:r>
              <w:rPr>
                <w:rFonts w:hint="eastAsia" w:ascii="宋体" w:hAnsi="宋体" w:cs="宋体"/>
                <w:szCs w:val="21"/>
              </w:rPr>
              <w:t>/</w:t>
            </w:r>
          </w:p>
        </w:tc>
      </w:tr>
      <w:tr w14:paraId="21B44CAD">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63" w:type="dxa"/>
          </w:tcPr>
          <w:p w14:paraId="61252939">
            <w:pPr>
              <w:spacing w:line="360" w:lineRule="auto"/>
              <w:jc w:val="center"/>
              <w:rPr>
                <w:rFonts w:ascii="宋体" w:hAnsi="宋体" w:cs="宋体"/>
                <w:szCs w:val="21"/>
              </w:rPr>
            </w:pPr>
            <w:r>
              <w:rPr>
                <w:rFonts w:hint="eastAsia" w:ascii="宋体" w:hAnsi="宋体" w:cs="宋体"/>
                <w:szCs w:val="21"/>
              </w:rPr>
              <w:t>/</w:t>
            </w:r>
          </w:p>
        </w:tc>
        <w:tc>
          <w:tcPr>
            <w:tcW w:w="5040" w:type="dxa"/>
          </w:tcPr>
          <w:p w14:paraId="618D756F">
            <w:pPr>
              <w:spacing w:line="360" w:lineRule="auto"/>
              <w:jc w:val="center"/>
              <w:rPr>
                <w:rFonts w:ascii="宋体" w:hAnsi="宋体" w:cs="宋体"/>
                <w:szCs w:val="21"/>
              </w:rPr>
            </w:pPr>
            <w:r>
              <w:rPr>
                <w:rFonts w:hint="eastAsia" w:ascii="宋体" w:hAnsi="宋体" w:cs="宋体"/>
                <w:szCs w:val="21"/>
              </w:rPr>
              <w:t>/</w:t>
            </w:r>
          </w:p>
        </w:tc>
      </w:tr>
      <w:tr w14:paraId="07B7FA9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063" w:type="dxa"/>
          </w:tcPr>
          <w:p w14:paraId="3B6496AA">
            <w:pPr>
              <w:spacing w:line="360" w:lineRule="auto"/>
              <w:jc w:val="center"/>
              <w:rPr>
                <w:rFonts w:ascii="宋体" w:hAnsi="宋体" w:cs="宋体"/>
                <w:szCs w:val="21"/>
              </w:rPr>
            </w:pPr>
            <w:r>
              <w:rPr>
                <w:rFonts w:hint="eastAsia" w:ascii="宋体" w:hAnsi="宋体" w:cs="宋体"/>
                <w:szCs w:val="21"/>
              </w:rPr>
              <w:t>/</w:t>
            </w:r>
          </w:p>
        </w:tc>
        <w:tc>
          <w:tcPr>
            <w:tcW w:w="5040" w:type="dxa"/>
          </w:tcPr>
          <w:p w14:paraId="0D4FEB58">
            <w:pPr>
              <w:spacing w:line="360" w:lineRule="auto"/>
              <w:jc w:val="center"/>
              <w:rPr>
                <w:rFonts w:ascii="宋体" w:hAnsi="宋体" w:cs="宋体"/>
                <w:szCs w:val="21"/>
              </w:rPr>
            </w:pPr>
            <w:r>
              <w:rPr>
                <w:rFonts w:hint="eastAsia" w:ascii="宋体" w:hAnsi="宋体" w:cs="宋体"/>
                <w:szCs w:val="21"/>
              </w:rPr>
              <w:t>/</w:t>
            </w:r>
          </w:p>
        </w:tc>
      </w:tr>
      <w:tr w14:paraId="2449605E">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258" w:hRule="atLeast"/>
          <w:jc w:val="center"/>
        </w:trPr>
        <w:tc>
          <w:tcPr>
            <w:tcW w:w="1063" w:type="dxa"/>
          </w:tcPr>
          <w:p w14:paraId="292CE33B">
            <w:pPr>
              <w:spacing w:line="360" w:lineRule="auto"/>
              <w:jc w:val="center"/>
              <w:rPr>
                <w:rFonts w:ascii="宋体" w:hAnsi="宋体" w:cs="宋体"/>
                <w:szCs w:val="21"/>
              </w:rPr>
            </w:pPr>
            <w:r>
              <w:rPr>
                <w:rFonts w:hint="eastAsia" w:ascii="宋体" w:hAnsi="宋体" w:cs="宋体"/>
                <w:szCs w:val="21"/>
              </w:rPr>
              <w:t>/</w:t>
            </w:r>
          </w:p>
        </w:tc>
        <w:tc>
          <w:tcPr>
            <w:tcW w:w="5040" w:type="dxa"/>
          </w:tcPr>
          <w:p w14:paraId="268456BD">
            <w:pPr>
              <w:spacing w:line="360" w:lineRule="auto"/>
              <w:jc w:val="center"/>
              <w:rPr>
                <w:rFonts w:ascii="宋体" w:hAnsi="宋体" w:cs="宋体"/>
                <w:szCs w:val="21"/>
              </w:rPr>
            </w:pPr>
            <w:r>
              <w:rPr>
                <w:rFonts w:hint="eastAsia" w:ascii="宋体" w:hAnsi="宋体" w:cs="宋体"/>
                <w:szCs w:val="21"/>
              </w:rPr>
              <w:t>/</w:t>
            </w:r>
          </w:p>
        </w:tc>
      </w:tr>
      <w:tr w14:paraId="10F87CED">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1063" w:type="dxa"/>
          </w:tcPr>
          <w:p w14:paraId="3FA47CF2">
            <w:pPr>
              <w:spacing w:line="360" w:lineRule="auto"/>
              <w:jc w:val="center"/>
              <w:rPr>
                <w:rFonts w:ascii="宋体" w:hAnsi="宋体" w:cs="宋体"/>
                <w:szCs w:val="21"/>
              </w:rPr>
            </w:pPr>
            <w:r>
              <w:rPr>
                <w:rFonts w:hint="eastAsia" w:ascii="宋体" w:hAnsi="宋体" w:cs="宋体"/>
                <w:szCs w:val="21"/>
              </w:rPr>
              <w:t>/</w:t>
            </w:r>
          </w:p>
        </w:tc>
        <w:tc>
          <w:tcPr>
            <w:tcW w:w="5040" w:type="dxa"/>
          </w:tcPr>
          <w:p w14:paraId="2BE2DF0B">
            <w:pPr>
              <w:spacing w:line="360" w:lineRule="auto"/>
              <w:jc w:val="center"/>
              <w:rPr>
                <w:rFonts w:ascii="宋体" w:hAnsi="宋体" w:cs="宋体"/>
                <w:szCs w:val="21"/>
              </w:rPr>
            </w:pPr>
            <w:r>
              <w:rPr>
                <w:rFonts w:hint="eastAsia" w:ascii="宋体" w:hAnsi="宋体" w:cs="宋体"/>
                <w:szCs w:val="21"/>
              </w:rPr>
              <w:t>/</w:t>
            </w:r>
          </w:p>
        </w:tc>
      </w:tr>
    </w:tbl>
    <w:p w14:paraId="71A221DB">
      <w:pPr>
        <w:spacing w:line="360" w:lineRule="auto"/>
        <w:rPr>
          <w:rFonts w:ascii="宋体" w:hAnsi="宋体" w:cs="宋体"/>
          <w:szCs w:val="21"/>
        </w:rPr>
      </w:pPr>
      <w:r>
        <w:rPr>
          <w:rFonts w:hint="eastAsia" w:ascii="宋体" w:hAnsi="宋体" w:cs="宋体"/>
          <w:szCs w:val="21"/>
        </w:rPr>
        <w:t>19.2暂估材料、设备或专业工程名称、规格、单位及暂估价：</w:t>
      </w:r>
      <w:r>
        <w:rPr>
          <w:rFonts w:hint="eastAsia" w:ascii="宋体" w:hAnsi="宋体" w:cs="宋体"/>
          <w:b/>
          <w:szCs w:val="21"/>
          <w:u w:val="single"/>
        </w:rPr>
        <w:t>详见工程量清单及标底。</w:t>
      </w:r>
    </w:p>
    <w:p w14:paraId="113B7FD1">
      <w:pPr>
        <w:spacing w:line="360" w:lineRule="auto"/>
        <w:rPr>
          <w:rFonts w:ascii="宋体" w:hAnsi="宋体" w:cs="宋体"/>
          <w:szCs w:val="21"/>
        </w:rPr>
      </w:pPr>
    </w:p>
    <w:p w14:paraId="7F2E3FA0">
      <w:pPr>
        <w:spacing w:line="360" w:lineRule="auto"/>
        <w:rPr>
          <w:rFonts w:ascii="宋体" w:hAnsi="宋体" w:cs="宋体"/>
          <w:szCs w:val="21"/>
          <w:u w:val="single"/>
        </w:rPr>
      </w:pPr>
      <w:r>
        <w:rPr>
          <w:rFonts w:hint="eastAsia" w:ascii="宋体" w:hAnsi="宋体" w:cs="宋体"/>
          <w:szCs w:val="21"/>
        </w:rPr>
        <w:t>19.3属依法必须招标的材料、设备或专业工程的招标主体是：</w:t>
      </w:r>
      <w:r>
        <w:rPr>
          <w:rFonts w:hint="eastAsia" w:ascii="宋体" w:hAnsi="宋体" w:cs="宋体"/>
          <w:b/>
          <w:szCs w:val="21"/>
          <w:u w:val="single"/>
        </w:rPr>
        <w:t>由承包人负责招标，报发包人审核确定。</w:t>
      </w:r>
    </w:p>
    <w:p w14:paraId="3A67E3EA">
      <w:pPr>
        <w:spacing w:line="360" w:lineRule="auto"/>
        <w:rPr>
          <w:rFonts w:ascii="宋体" w:hAnsi="宋体" w:cs="宋体"/>
          <w:szCs w:val="21"/>
        </w:rPr>
      </w:pPr>
      <w:r>
        <w:rPr>
          <w:rFonts w:hint="eastAsia" w:ascii="宋体" w:hAnsi="宋体" w:cs="宋体"/>
          <w:szCs w:val="21"/>
        </w:rPr>
        <w:t>19.4依法无需招标，材料设备暂估价的最后确定方法：</w:t>
      </w:r>
    </w:p>
    <w:p w14:paraId="0E5296A9">
      <w:pPr>
        <w:spacing w:line="360" w:lineRule="auto"/>
        <w:rPr>
          <w:rFonts w:ascii="宋体" w:hAnsi="宋体" w:cs="宋体"/>
          <w:szCs w:val="21"/>
          <w:u w:val="single"/>
        </w:rPr>
      </w:pPr>
      <w:r>
        <w:rPr>
          <w:rFonts w:hint="eastAsia" w:ascii="宋体" w:hAnsi="宋体" w:cs="宋体"/>
          <w:b/>
          <w:szCs w:val="21"/>
          <w:u w:val="single"/>
        </w:rPr>
        <w:t>在发包人确定品牌规格后，由承包人报价后报发包人审核确定。</w:t>
      </w:r>
    </w:p>
    <w:p w14:paraId="5E24F9F6">
      <w:pPr>
        <w:spacing w:line="360" w:lineRule="auto"/>
        <w:rPr>
          <w:rFonts w:ascii="宋体" w:hAnsi="宋体" w:cs="宋体"/>
          <w:szCs w:val="21"/>
        </w:rPr>
      </w:pPr>
      <w:r>
        <w:rPr>
          <w:rFonts w:hint="eastAsia" w:ascii="宋体" w:hAnsi="宋体" w:cs="宋体"/>
          <w:szCs w:val="21"/>
        </w:rPr>
        <w:t>19.5依法无需招标，专业工程暂估价的最后确定方法：</w:t>
      </w:r>
    </w:p>
    <w:p w14:paraId="0A54345F">
      <w:pPr>
        <w:spacing w:line="360" w:lineRule="auto"/>
        <w:rPr>
          <w:rFonts w:ascii="宋体" w:hAnsi="宋体" w:cs="宋体"/>
          <w:szCs w:val="21"/>
          <w:u w:val="single"/>
        </w:rPr>
      </w:pPr>
      <w:r>
        <w:rPr>
          <w:rFonts w:hint="eastAsia" w:ascii="宋体" w:hAnsi="宋体" w:cs="宋体"/>
          <w:b/>
          <w:szCs w:val="21"/>
          <w:u w:val="single"/>
        </w:rPr>
        <w:t>在发包人确定品牌规格后，专业工程暂估价的最后确定应当首先按照招标控制价（审定造价）的编制方法计算出专业工程造价，并按照（中标价-不可竞争费）与（审定造价-不可竞争费）相除计算所得的折扣率     %，确定该专业工程造价。</w:t>
      </w:r>
    </w:p>
    <w:p w14:paraId="7D059AF6">
      <w:pPr>
        <w:spacing w:line="360" w:lineRule="auto"/>
        <w:rPr>
          <w:rFonts w:ascii="宋体" w:hAnsi="宋体" w:cs="宋体"/>
          <w:szCs w:val="21"/>
          <w:u w:val="single"/>
        </w:rPr>
      </w:pPr>
      <w:r>
        <w:rPr>
          <w:rFonts w:hint="eastAsia" w:ascii="宋体" w:hAnsi="宋体" w:cs="宋体"/>
          <w:szCs w:val="21"/>
        </w:rPr>
        <w:t>19.6暂列金额名称及暂列金额：</w:t>
      </w:r>
      <w:r>
        <w:rPr>
          <w:rFonts w:hint="eastAsia" w:ascii="宋体" w:hAnsi="宋体" w:cs="宋体"/>
          <w:b/>
          <w:szCs w:val="21"/>
          <w:u w:val="single"/>
        </w:rPr>
        <w:t>详见工程量清单及标底。</w:t>
      </w:r>
    </w:p>
    <w:p w14:paraId="2764E7DF">
      <w:pPr>
        <w:spacing w:line="360" w:lineRule="auto"/>
        <w:rPr>
          <w:rFonts w:ascii="宋体" w:hAnsi="宋体" w:cs="宋体"/>
          <w:b/>
          <w:szCs w:val="21"/>
        </w:rPr>
      </w:pPr>
      <w:r>
        <w:rPr>
          <w:rFonts w:hint="eastAsia" w:ascii="宋体" w:hAnsi="宋体" w:cs="宋体"/>
          <w:b/>
          <w:szCs w:val="21"/>
        </w:rPr>
        <w:t>20工程量确认</w:t>
      </w:r>
    </w:p>
    <w:p w14:paraId="73ECD361">
      <w:pPr>
        <w:spacing w:line="360" w:lineRule="auto"/>
        <w:rPr>
          <w:rFonts w:ascii="宋体" w:hAnsi="宋体" w:cs="宋体"/>
          <w:szCs w:val="21"/>
        </w:rPr>
      </w:pPr>
      <w:r>
        <w:rPr>
          <w:rFonts w:hint="eastAsia" w:ascii="宋体" w:hAnsi="宋体" w:cs="宋体"/>
          <w:szCs w:val="21"/>
        </w:rPr>
        <w:t>20.1本工程采用的工程量计算规则：</w:t>
      </w:r>
    </w:p>
    <w:p w14:paraId="35DADB2D">
      <w:pPr>
        <w:spacing w:line="360" w:lineRule="auto"/>
        <w:rPr>
          <w:rFonts w:ascii="宋体" w:hAnsi="宋体" w:cs="宋体"/>
          <w:szCs w:val="21"/>
        </w:rPr>
      </w:pPr>
      <w:r>
        <w:rPr>
          <w:rFonts w:hint="eastAsia" w:ascii="宋体" w:hAnsi="宋体" w:cs="宋体"/>
          <w:szCs w:val="21"/>
        </w:rPr>
        <w:t>■《建设工程工程量清单计价规范》及《深圳市建设工程工程量清单补充计价规范》；</w:t>
      </w:r>
    </w:p>
    <w:p w14:paraId="5B5CAB74">
      <w:pPr>
        <w:spacing w:line="360" w:lineRule="auto"/>
        <w:rPr>
          <w:rFonts w:ascii="宋体" w:hAnsi="宋体" w:cs="宋体"/>
          <w:szCs w:val="21"/>
        </w:rPr>
      </w:pPr>
      <w:r>
        <w:rPr>
          <w:rFonts w:hint="eastAsia" w:ascii="宋体" w:hAnsi="宋体" w:cs="宋体"/>
          <w:szCs w:val="21"/>
        </w:rPr>
        <w:drawing>
          <wp:inline distT="0" distB="0" distL="0" distR="0">
            <wp:extent cx="152400" cy="161925"/>
            <wp:effectExtent l="0" t="0" r="0" b="9525"/>
            <wp:docPr id="193849293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492930" name="图片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52400" cy="161925"/>
                    </a:xfrm>
                    <a:prstGeom prst="rect">
                      <a:avLst/>
                    </a:prstGeom>
                    <a:noFill/>
                    <a:ln>
                      <a:noFill/>
                    </a:ln>
                  </pic:spPr>
                </pic:pic>
              </a:graphicData>
            </a:graphic>
          </wp:inline>
        </w:drawing>
      </w:r>
      <w:r>
        <w:rPr>
          <w:rFonts w:hint="eastAsia" w:ascii="宋体" w:hAnsi="宋体" w:cs="宋体"/>
          <w:szCs w:val="21"/>
        </w:rPr>
        <w:t>深圳市建设工程计价标准中的工程量计算规则；</w:t>
      </w:r>
    </w:p>
    <w:p w14:paraId="69BD1089">
      <w:pPr>
        <w:spacing w:line="360" w:lineRule="auto"/>
        <w:rPr>
          <w:rFonts w:ascii="宋体" w:hAnsi="宋体" w:cs="宋体"/>
          <w:szCs w:val="21"/>
          <w:u w:val="single"/>
        </w:rPr>
      </w:pPr>
      <w:r>
        <w:rPr>
          <w:rFonts w:hint="eastAsia" w:ascii="宋体" w:hAnsi="宋体" w:cs="宋体"/>
          <w:szCs w:val="21"/>
        </w:rPr>
        <w:t>■其他：</w:t>
      </w:r>
      <w:r>
        <w:rPr>
          <w:rFonts w:hint="eastAsia" w:ascii="宋体" w:hAnsi="宋体" w:cs="宋体"/>
          <w:b/>
          <w:szCs w:val="21"/>
          <w:u w:val="single"/>
        </w:rPr>
        <w:t>深圳市有关规定、合同补充条款</w:t>
      </w:r>
    </w:p>
    <w:p w14:paraId="1BF2A38C">
      <w:pPr>
        <w:spacing w:line="360" w:lineRule="auto"/>
        <w:rPr>
          <w:rFonts w:ascii="宋体" w:hAnsi="宋体" w:cs="宋体"/>
          <w:b/>
          <w:szCs w:val="21"/>
        </w:rPr>
      </w:pPr>
      <w:r>
        <w:rPr>
          <w:rFonts w:hint="eastAsia" w:ascii="宋体" w:hAnsi="宋体" w:cs="宋体"/>
          <w:b/>
          <w:szCs w:val="21"/>
        </w:rPr>
        <w:t>21工程款支付</w:t>
      </w:r>
    </w:p>
    <w:p w14:paraId="2AEFD995">
      <w:pPr>
        <w:spacing w:line="360" w:lineRule="auto"/>
        <w:rPr>
          <w:rFonts w:ascii="宋体" w:hAnsi="宋体" w:cs="宋体"/>
          <w:szCs w:val="21"/>
          <w:u w:val="single"/>
        </w:rPr>
      </w:pPr>
      <w:r>
        <w:rPr>
          <w:rFonts w:hint="eastAsia" w:ascii="宋体" w:hAnsi="宋体" w:cs="宋体"/>
          <w:szCs w:val="21"/>
        </w:rPr>
        <w:t>21.1发包人向承包人支付工程预付款的时间：</w:t>
      </w:r>
      <w:r>
        <w:rPr>
          <w:rFonts w:hint="eastAsia" w:ascii="宋体" w:hAnsi="宋体" w:cs="宋体"/>
          <w:b/>
          <w:szCs w:val="21"/>
          <w:u w:val="single"/>
        </w:rPr>
        <w:t>合同生效，发包人确认承包人已到现场进行正常的施工组织安排，且发包人收到承包人同等金额的有效发票</w:t>
      </w:r>
      <w:r>
        <w:rPr>
          <w:rFonts w:hint="eastAsia" w:ascii="宋体" w:hAnsi="宋体" w:cs="宋体"/>
          <w:b/>
          <w:szCs w:val="21"/>
          <w:highlight w:val="none"/>
          <w:u w:val="single"/>
        </w:rPr>
        <w:t>后10个工作日内（</w:t>
      </w:r>
      <w:r>
        <w:rPr>
          <w:rFonts w:hint="eastAsia" w:ascii="宋体" w:hAnsi="宋体" w:cs="宋体"/>
          <w:b/>
          <w:szCs w:val="21"/>
          <w:u w:val="single"/>
        </w:rPr>
        <w:t>如遇本年度财政经费额度未到账等情况，则顺延支付）。</w:t>
      </w:r>
    </w:p>
    <w:p w14:paraId="0A4C1F00">
      <w:pPr>
        <w:spacing w:line="360" w:lineRule="auto"/>
        <w:ind w:firstLine="420" w:firstLineChars="200"/>
        <w:rPr>
          <w:rFonts w:ascii="宋体" w:hAnsi="宋体" w:cs="宋体"/>
          <w:szCs w:val="21"/>
          <w:u w:val="single"/>
        </w:rPr>
      </w:pPr>
      <w:r>
        <w:rPr>
          <w:rFonts w:hint="eastAsia" w:ascii="宋体" w:hAnsi="宋体" w:cs="宋体"/>
          <w:szCs w:val="21"/>
        </w:rPr>
        <w:t>发包人向承包人支付工程预付款的金额(小写)：</w:t>
      </w:r>
      <w:r>
        <w:rPr>
          <w:rFonts w:hint="eastAsia" w:ascii="宋体" w:hAnsi="宋体" w:cs="宋体"/>
          <w:b/>
          <w:szCs w:val="21"/>
          <w:highlight w:val="none"/>
          <w:u w:val="single"/>
        </w:rPr>
        <w:t>合同总价的30%</w:t>
      </w:r>
    </w:p>
    <w:p w14:paraId="69FE9E92">
      <w:pPr>
        <w:spacing w:line="360" w:lineRule="auto"/>
        <w:ind w:firstLine="420" w:firstLineChars="200"/>
        <w:rPr>
          <w:rFonts w:ascii="宋体" w:hAnsi="宋体" w:cs="宋体"/>
          <w:szCs w:val="21"/>
          <w:u w:val="single"/>
        </w:rPr>
      </w:pPr>
      <w:r>
        <w:rPr>
          <w:rFonts w:hint="eastAsia" w:ascii="宋体" w:hAnsi="宋体" w:cs="宋体"/>
          <w:szCs w:val="21"/>
        </w:rPr>
        <w:t>其中，施工现场安全文明措施费预付款的金额(小写)：</w:t>
      </w:r>
      <w:r>
        <w:rPr>
          <w:rFonts w:hint="eastAsia" w:ascii="宋体" w:hAnsi="宋体" w:cs="宋体"/>
          <w:b/>
          <w:szCs w:val="21"/>
          <w:u w:val="single"/>
        </w:rPr>
        <w:t>/</w:t>
      </w:r>
    </w:p>
    <w:p w14:paraId="749049A0">
      <w:pPr>
        <w:spacing w:line="360" w:lineRule="auto"/>
        <w:rPr>
          <w:rFonts w:ascii="宋体" w:hAnsi="宋体" w:cs="宋体"/>
          <w:szCs w:val="21"/>
          <w:u w:val="single"/>
        </w:rPr>
      </w:pPr>
      <w:r>
        <w:rPr>
          <w:rFonts w:hint="eastAsia" w:ascii="宋体" w:hAnsi="宋体" w:cs="宋体"/>
          <w:szCs w:val="21"/>
        </w:rPr>
        <w:t>21.2工程预付款扣回的起扣点：</w:t>
      </w:r>
      <w:r>
        <w:rPr>
          <w:rFonts w:hint="eastAsia" w:ascii="宋体" w:hAnsi="宋体" w:cs="宋体"/>
          <w:bCs/>
          <w:szCs w:val="21"/>
          <w:u w:val="single"/>
        </w:rPr>
        <w:t>/</w:t>
      </w:r>
    </w:p>
    <w:p w14:paraId="7C8C7AFC">
      <w:pPr>
        <w:spacing w:line="360" w:lineRule="auto"/>
        <w:ind w:firstLine="630" w:firstLineChars="300"/>
        <w:rPr>
          <w:rFonts w:ascii="宋体" w:hAnsi="宋体" w:cs="宋体"/>
          <w:szCs w:val="21"/>
          <w:u w:val="single"/>
        </w:rPr>
      </w:pPr>
      <w:r>
        <w:rPr>
          <w:rFonts w:hint="eastAsia" w:ascii="宋体" w:hAnsi="宋体" w:cs="宋体"/>
          <w:szCs w:val="21"/>
        </w:rPr>
        <w:t>工程预付款扣回比例：</w:t>
      </w:r>
      <w:r>
        <w:rPr>
          <w:rFonts w:hint="eastAsia" w:ascii="宋体" w:hAnsi="宋体" w:cs="宋体"/>
          <w:bCs/>
          <w:szCs w:val="21"/>
          <w:u w:val="single"/>
        </w:rPr>
        <w:t>/</w:t>
      </w:r>
    </w:p>
    <w:p w14:paraId="6ECABD5E">
      <w:pPr>
        <w:spacing w:line="360" w:lineRule="auto"/>
        <w:rPr>
          <w:rFonts w:ascii="宋体" w:hAnsi="宋体" w:cs="宋体"/>
          <w:b/>
          <w:szCs w:val="21"/>
          <w:u w:val="single"/>
        </w:rPr>
      </w:pPr>
      <w:r>
        <w:rPr>
          <w:rFonts w:hint="eastAsia" w:ascii="宋体" w:hAnsi="宋体" w:cs="宋体"/>
          <w:szCs w:val="21"/>
        </w:rPr>
        <w:t>21.3办理期中结算与支付的时间间隔和要求：</w:t>
      </w:r>
      <w:bookmarkStart w:id="253" w:name="_Hlk190717073"/>
      <w:r>
        <w:rPr>
          <w:rFonts w:hint="eastAsia" w:ascii="宋体" w:hAnsi="宋体" w:cs="宋体"/>
          <w:b/>
          <w:kern w:val="0"/>
          <w:szCs w:val="21"/>
          <w:u w:val="single"/>
        </w:rPr>
        <w:t>按工程形象进度支付进度款，工程完工付至合同价</w:t>
      </w:r>
      <w:r>
        <w:rPr>
          <w:rFonts w:hint="eastAsia" w:ascii="宋体" w:hAnsi="宋体" w:cs="宋体"/>
          <w:b/>
          <w:kern w:val="0"/>
          <w:szCs w:val="21"/>
          <w:highlight w:val="none"/>
          <w:u w:val="single"/>
        </w:rPr>
        <w:t>的90%</w:t>
      </w:r>
      <w:r>
        <w:rPr>
          <w:rFonts w:hint="eastAsia" w:ascii="宋体" w:hAnsi="宋体" w:cs="宋体"/>
          <w:b/>
          <w:kern w:val="0"/>
          <w:szCs w:val="21"/>
          <w:u w:val="single"/>
        </w:rPr>
        <w:t>；工程完工验收合格（包括资料检查合格）并完成结算审核，发包人在收到承包人提供的金额为结算审核款3%、有效期为1年的工程质量保函后，将全部工程结算审核款余款支付给承包人方</w:t>
      </w:r>
      <w:bookmarkEnd w:id="253"/>
      <w:r>
        <w:rPr>
          <w:rFonts w:hint="eastAsia" w:ascii="宋体" w:hAnsi="宋体" w:cs="宋体"/>
          <w:b/>
          <w:szCs w:val="21"/>
          <w:u w:val="single"/>
        </w:rPr>
        <w:t>（如遇本年度财政经费额度未到账等情况，则顺延支付）。</w:t>
      </w:r>
    </w:p>
    <w:p w14:paraId="7E41448A">
      <w:pPr>
        <w:spacing w:line="360" w:lineRule="auto"/>
        <w:rPr>
          <w:rFonts w:ascii="宋体" w:hAnsi="宋体" w:cs="宋体"/>
          <w:szCs w:val="21"/>
          <w:u w:val="single"/>
        </w:rPr>
      </w:pPr>
      <w:r>
        <w:rPr>
          <w:rFonts w:hint="eastAsia" w:ascii="宋体" w:hAnsi="宋体" w:cs="宋体"/>
          <w:szCs w:val="21"/>
        </w:rPr>
        <w:t>21.4期中支付的最低金额：</w:t>
      </w:r>
      <w:r>
        <w:rPr>
          <w:rFonts w:hint="eastAsia" w:ascii="宋体" w:hAnsi="宋体" w:cs="宋体"/>
          <w:bCs/>
          <w:szCs w:val="21"/>
          <w:u w:val="single"/>
        </w:rPr>
        <w:t>/</w:t>
      </w:r>
    </w:p>
    <w:p w14:paraId="1D65CAB8">
      <w:pPr>
        <w:spacing w:line="360" w:lineRule="auto"/>
        <w:jc w:val="left"/>
        <w:rPr>
          <w:rFonts w:ascii="宋体" w:hAnsi="宋体" w:cs="宋体"/>
          <w:b/>
          <w:szCs w:val="21"/>
        </w:rPr>
      </w:pPr>
      <w:r>
        <w:rPr>
          <w:rFonts w:hint="eastAsia" w:ascii="宋体" w:hAnsi="宋体" w:cs="宋体"/>
          <w:b/>
          <w:szCs w:val="21"/>
        </w:rPr>
        <w:t>十、工程变更</w:t>
      </w:r>
    </w:p>
    <w:p w14:paraId="6442B94F">
      <w:pPr>
        <w:spacing w:line="360" w:lineRule="auto"/>
        <w:rPr>
          <w:rFonts w:ascii="宋体" w:hAnsi="宋体" w:cs="宋体"/>
          <w:b/>
          <w:szCs w:val="21"/>
        </w:rPr>
      </w:pPr>
      <w:r>
        <w:rPr>
          <w:rFonts w:hint="eastAsia" w:ascii="宋体" w:hAnsi="宋体" w:cs="宋体"/>
          <w:b/>
          <w:szCs w:val="21"/>
        </w:rPr>
        <w:t>22变更价款的确定</w:t>
      </w:r>
    </w:p>
    <w:p w14:paraId="75297488">
      <w:pPr>
        <w:spacing w:line="360" w:lineRule="auto"/>
        <w:rPr>
          <w:rFonts w:ascii="宋体" w:hAnsi="宋体" w:cs="宋体"/>
          <w:szCs w:val="21"/>
          <w:u w:val="single"/>
        </w:rPr>
      </w:pPr>
      <w:r>
        <w:rPr>
          <w:rFonts w:hint="eastAsia" w:ascii="宋体" w:hAnsi="宋体" w:cs="宋体"/>
          <w:szCs w:val="21"/>
        </w:rPr>
        <w:t>22.1工程量变更幅度：</w:t>
      </w:r>
      <w:r>
        <w:rPr>
          <w:rFonts w:hint="eastAsia" w:ascii="宋体" w:hAnsi="宋体" w:cs="宋体"/>
          <w:b/>
          <w:szCs w:val="21"/>
          <w:u w:val="single"/>
        </w:rPr>
        <w:t>无论工程量增减（变更）幅度多少均不调整合同单价。</w:t>
      </w:r>
    </w:p>
    <w:p w14:paraId="18793961">
      <w:pPr>
        <w:spacing w:line="360" w:lineRule="auto"/>
        <w:rPr>
          <w:rFonts w:ascii="宋体" w:hAnsi="宋体" w:cs="宋体"/>
          <w:szCs w:val="21"/>
          <w:u w:val="single"/>
        </w:rPr>
      </w:pPr>
      <w:r>
        <w:rPr>
          <w:rFonts w:hint="eastAsia" w:ascii="宋体" w:hAnsi="宋体" w:cs="宋体"/>
          <w:szCs w:val="21"/>
        </w:rPr>
        <w:t>22.2增加部分工程量或减少后剩余部分工程量的项目单价确定采用的计价标准和价格信息：</w:t>
      </w:r>
      <w:r>
        <w:rPr>
          <w:rFonts w:hint="eastAsia" w:ascii="宋体" w:hAnsi="宋体" w:cs="宋体"/>
          <w:b/>
          <w:szCs w:val="21"/>
          <w:u w:val="single"/>
        </w:rPr>
        <w:t>按合同单价，除非合同另有约定。</w:t>
      </w:r>
    </w:p>
    <w:p w14:paraId="044478FC">
      <w:pPr>
        <w:spacing w:line="360" w:lineRule="auto"/>
        <w:jc w:val="left"/>
        <w:rPr>
          <w:rFonts w:ascii="宋体" w:hAnsi="宋体" w:cs="宋体"/>
          <w:b/>
          <w:szCs w:val="21"/>
        </w:rPr>
      </w:pPr>
      <w:r>
        <w:rPr>
          <w:rFonts w:hint="eastAsia" w:ascii="宋体" w:hAnsi="宋体" w:cs="宋体"/>
          <w:b/>
          <w:szCs w:val="21"/>
        </w:rPr>
        <w:t>十一、竣工验收和结算</w:t>
      </w:r>
    </w:p>
    <w:p w14:paraId="6B377C4B">
      <w:pPr>
        <w:spacing w:line="360" w:lineRule="auto"/>
        <w:rPr>
          <w:rFonts w:ascii="宋体" w:hAnsi="宋体" w:cs="宋体"/>
          <w:b/>
          <w:szCs w:val="21"/>
        </w:rPr>
      </w:pPr>
      <w:r>
        <w:rPr>
          <w:rFonts w:hint="eastAsia" w:ascii="宋体" w:hAnsi="宋体" w:cs="宋体"/>
          <w:b/>
          <w:szCs w:val="21"/>
        </w:rPr>
        <w:t>23竣工验收</w:t>
      </w:r>
    </w:p>
    <w:p w14:paraId="42E64DB9">
      <w:pPr>
        <w:spacing w:line="360" w:lineRule="auto"/>
        <w:rPr>
          <w:rFonts w:ascii="宋体" w:hAnsi="宋体" w:cs="宋体"/>
          <w:szCs w:val="21"/>
        </w:rPr>
      </w:pPr>
      <w:r>
        <w:rPr>
          <w:rFonts w:hint="eastAsia" w:ascii="宋体" w:hAnsi="宋体" w:cs="宋体"/>
          <w:szCs w:val="21"/>
        </w:rPr>
        <w:t>23.1承包人提供竣工资料的约定：</w:t>
      </w:r>
    </w:p>
    <w:p w14:paraId="464CF664">
      <w:pPr>
        <w:spacing w:line="360" w:lineRule="auto"/>
        <w:rPr>
          <w:rFonts w:ascii="宋体" w:hAnsi="宋体" w:cs="宋体"/>
          <w:szCs w:val="21"/>
        </w:rPr>
      </w:pPr>
      <w:r>
        <w:rPr>
          <w:rFonts w:hint="eastAsia" w:ascii="宋体" w:hAnsi="宋体" w:cs="宋体"/>
          <w:b/>
          <w:szCs w:val="21"/>
          <w:u w:val="single"/>
        </w:rPr>
        <w:t>工程具备验收条件，承包人应按国家、深圳市工程验收有关规定，应在工程竣工验收前14天内，向发包人提交竣工验收申请报告；工程验收合格后15天内，向发包人按相关规定要求提交完整竣工资料（包括竣工图纸，如有）及竣工验收报告</w:t>
      </w:r>
      <w:r>
        <w:rPr>
          <w:rFonts w:hint="eastAsia" w:ascii="宋体" w:hAnsi="宋体" w:cs="宋体"/>
          <w:b/>
          <w:bCs/>
          <w:szCs w:val="21"/>
          <w:u w:val="single"/>
        </w:rPr>
        <w:t>和相应的电子文档</w:t>
      </w:r>
      <w:r>
        <w:rPr>
          <w:rFonts w:hint="eastAsia" w:ascii="宋体" w:hAnsi="宋体" w:cs="宋体"/>
          <w:b/>
          <w:szCs w:val="21"/>
          <w:u w:val="single"/>
        </w:rPr>
        <w:t>，其套数除满足存档案需要外还需另提供两套由发包人备用。所有竣工资料的编制费用均由承包人承担。</w:t>
      </w:r>
    </w:p>
    <w:p w14:paraId="080540A1">
      <w:pPr>
        <w:spacing w:line="360" w:lineRule="auto"/>
        <w:rPr>
          <w:rFonts w:ascii="宋体" w:hAnsi="宋体" w:cs="宋体"/>
          <w:szCs w:val="21"/>
          <w:u w:val="single"/>
        </w:rPr>
      </w:pPr>
      <w:r>
        <w:rPr>
          <w:rFonts w:hint="eastAsia" w:ascii="宋体" w:hAnsi="宋体" w:cs="宋体"/>
          <w:szCs w:val="21"/>
        </w:rPr>
        <w:t>23.2单项工程竣工验收的约定：</w:t>
      </w:r>
      <w:r>
        <w:rPr>
          <w:rFonts w:hint="eastAsia" w:ascii="宋体" w:hAnsi="宋体" w:cs="宋体"/>
          <w:b/>
          <w:szCs w:val="21"/>
          <w:u w:val="single"/>
        </w:rPr>
        <w:t>按深圳市有关规定。</w:t>
      </w:r>
    </w:p>
    <w:p w14:paraId="032C9E2B">
      <w:pPr>
        <w:spacing w:line="360" w:lineRule="auto"/>
        <w:rPr>
          <w:rFonts w:ascii="宋体" w:hAnsi="宋体" w:cs="宋体"/>
          <w:szCs w:val="21"/>
        </w:rPr>
      </w:pPr>
      <w:r>
        <w:rPr>
          <w:rFonts w:hint="eastAsia" w:ascii="宋体" w:hAnsi="宋体" w:cs="宋体"/>
          <w:szCs w:val="21"/>
        </w:rPr>
        <w:t>23.3如本工程竣工验收质量未达到本合同约定的标准，对承包人的处罚方式如下：</w:t>
      </w:r>
      <w:r>
        <w:rPr>
          <w:rFonts w:hint="eastAsia" w:ascii="宋体" w:hAnsi="宋体" w:cs="宋体"/>
          <w:b/>
          <w:szCs w:val="21"/>
          <w:u w:val="single"/>
        </w:rPr>
        <w:t>具体内容按照合同第四部分补充条款执行。</w:t>
      </w:r>
    </w:p>
    <w:p w14:paraId="1535765B">
      <w:pPr>
        <w:spacing w:line="360" w:lineRule="auto"/>
        <w:rPr>
          <w:rFonts w:ascii="宋体" w:hAnsi="宋体" w:cs="宋体"/>
          <w:szCs w:val="21"/>
        </w:rPr>
      </w:pPr>
      <w:r>
        <w:rPr>
          <w:rFonts w:hint="eastAsia" w:ascii="宋体" w:hAnsi="宋体" w:cs="宋体"/>
          <w:szCs w:val="21"/>
        </w:rPr>
        <w:t>23.4发承包双方对工程质量争议委托的质量检测鉴定机构为：</w:t>
      </w:r>
      <w:r>
        <w:rPr>
          <w:rFonts w:hint="eastAsia" w:ascii="宋体" w:hAnsi="宋体" w:cs="宋体"/>
          <w:b/>
          <w:szCs w:val="21"/>
          <w:u w:val="single"/>
        </w:rPr>
        <w:t>深圳市建筑工程质量检测中心</w:t>
      </w:r>
    </w:p>
    <w:p w14:paraId="6117E130">
      <w:pPr>
        <w:spacing w:line="360" w:lineRule="auto"/>
        <w:rPr>
          <w:rFonts w:ascii="宋体" w:hAnsi="宋体" w:cs="宋体"/>
          <w:b/>
          <w:szCs w:val="21"/>
        </w:rPr>
      </w:pPr>
      <w:r>
        <w:rPr>
          <w:rFonts w:hint="eastAsia" w:ascii="宋体" w:hAnsi="宋体" w:cs="宋体"/>
          <w:b/>
          <w:szCs w:val="21"/>
        </w:rPr>
        <w:t>24竣工结算</w:t>
      </w:r>
    </w:p>
    <w:p w14:paraId="2A961F01">
      <w:pPr>
        <w:spacing w:line="360" w:lineRule="auto"/>
        <w:rPr>
          <w:rFonts w:ascii="宋体" w:hAnsi="宋体" w:cs="宋体"/>
          <w:szCs w:val="21"/>
        </w:rPr>
      </w:pPr>
      <w:r>
        <w:rPr>
          <w:rFonts w:hint="eastAsia" w:ascii="宋体" w:hAnsi="宋体" w:cs="宋体"/>
          <w:szCs w:val="21"/>
        </w:rPr>
        <w:t>24.1发包人指派的竣工结算核对人及核对次数：</w:t>
      </w:r>
      <w:r>
        <w:rPr>
          <w:rFonts w:hint="eastAsia" w:ascii="宋体" w:hAnsi="宋体" w:cs="宋体"/>
          <w:b/>
          <w:szCs w:val="21"/>
          <w:u w:val="single"/>
        </w:rPr>
        <w:t>由发包人另行通知</w:t>
      </w:r>
    </w:p>
    <w:p w14:paraId="21A3D920">
      <w:pPr>
        <w:spacing w:line="360" w:lineRule="auto"/>
        <w:rPr>
          <w:rFonts w:ascii="宋体" w:hAnsi="宋体" w:cs="宋体"/>
          <w:szCs w:val="21"/>
        </w:rPr>
      </w:pPr>
      <w:r>
        <w:rPr>
          <w:rFonts w:hint="eastAsia" w:ascii="宋体" w:hAnsi="宋体" w:cs="宋体"/>
          <w:szCs w:val="21"/>
        </w:rPr>
        <w:t>24.2承包人提交竣工结算书和结算资料的期限为工程竣工验收合格后20天。</w:t>
      </w:r>
    </w:p>
    <w:p w14:paraId="57411D91">
      <w:pPr>
        <w:spacing w:line="360" w:lineRule="auto"/>
        <w:jc w:val="left"/>
        <w:rPr>
          <w:rFonts w:ascii="宋体" w:hAnsi="宋体" w:cs="宋体"/>
          <w:szCs w:val="21"/>
        </w:rPr>
      </w:pPr>
      <w:r>
        <w:rPr>
          <w:rFonts w:hint="eastAsia" w:ascii="宋体" w:hAnsi="宋体" w:cs="宋体"/>
          <w:szCs w:val="21"/>
        </w:rPr>
        <w:t>24.3发包人审核竣工结算书的期限为承包人提交竣工结算书和结算资料后60天。</w:t>
      </w:r>
    </w:p>
    <w:p w14:paraId="0E996AC9">
      <w:pPr>
        <w:spacing w:line="360" w:lineRule="auto"/>
        <w:rPr>
          <w:rFonts w:ascii="宋体" w:hAnsi="宋体" w:cs="宋体"/>
          <w:szCs w:val="21"/>
        </w:rPr>
      </w:pPr>
      <w:r>
        <w:rPr>
          <w:rFonts w:hint="eastAsia" w:ascii="宋体" w:hAnsi="宋体" w:cs="宋体"/>
          <w:szCs w:val="21"/>
        </w:rPr>
        <w:t>24.4承包人提交修改竣工结算书或补充结算资料的期限为发包人提出修改意见或补充结算资料要求后20天；发包人核对经修改的竣工结算书的期限为承包人提交修改竣工结算书或补充结算资料后20天；承包人被视为接受发包人核对意见的期限为承包人收到发包人提出的核对意见后20天。</w:t>
      </w:r>
    </w:p>
    <w:p w14:paraId="48B7547E">
      <w:pPr>
        <w:spacing w:line="360" w:lineRule="auto"/>
        <w:ind w:firstLine="420" w:firstLineChars="200"/>
        <w:rPr>
          <w:rFonts w:ascii="宋体" w:hAnsi="宋体" w:cs="宋体"/>
          <w:szCs w:val="21"/>
        </w:rPr>
      </w:pPr>
      <w:r>
        <w:rPr>
          <w:rFonts w:hint="eastAsia" w:ascii="宋体" w:hAnsi="宋体" w:cs="宋体"/>
          <w:szCs w:val="21"/>
        </w:rPr>
        <w:t>注：工程竣工结算核对期限可参照以下期限规定</w:t>
      </w:r>
    </w:p>
    <w:tbl>
      <w:tblPr>
        <w:tblStyle w:val="50"/>
        <w:tblW w:w="7862"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0"/>
        <w:gridCol w:w="2520"/>
        <w:gridCol w:w="4982"/>
      </w:tblGrid>
      <w:tr w14:paraId="49B60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0" w:type="dxa"/>
            <w:vAlign w:val="center"/>
          </w:tcPr>
          <w:p w14:paraId="685CCDE9">
            <w:pPr>
              <w:spacing w:line="360" w:lineRule="auto"/>
              <w:jc w:val="center"/>
              <w:rPr>
                <w:rFonts w:ascii="宋体" w:hAnsi="宋体" w:cs="宋体"/>
                <w:szCs w:val="21"/>
              </w:rPr>
            </w:pPr>
          </w:p>
        </w:tc>
        <w:tc>
          <w:tcPr>
            <w:tcW w:w="2520" w:type="dxa"/>
            <w:vAlign w:val="center"/>
          </w:tcPr>
          <w:p w14:paraId="725642BF">
            <w:pPr>
              <w:spacing w:line="360" w:lineRule="auto"/>
              <w:rPr>
                <w:rFonts w:ascii="宋体" w:hAnsi="宋体" w:cs="宋体"/>
                <w:szCs w:val="21"/>
              </w:rPr>
            </w:pPr>
            <w:r>
              <w:rPr>
                <w:rFonts w:hint="eastAsia" w:ascii="宋体" w:hAnsi="宋体" w:cs="宋体"/>
                <w:szCs w:val="21"/>
              </w:rPr>
              <w:t>竣工结算书金额</w:t>
            </w:r>
          </w:p>
        </w:tc>
        <w:tc>
          <w:tcPr>
            <w:tcW w:w="4982" w:type="dxa"/>
            <w:vAlign w:val="center"/>
          </w:tcPr>
          <w:p w14:paraId="16681B69">
            <w:pPr>
              <w:spacing w:line="360" w:lineRule="auto"/>
              <w:jc w:val="center"/>
              <w:rPr>
                <w:rFonts w:ascii="宋体" w:hAnsi="宋体" w:cs="宋体"/>
                <w:szCs w:val="21"/>
              </w:rPr>
            </w:pPr>
            <w:r>
              <w:rPr>
                <w:rFonts w:hint="eastAsia" w:ascii="宋体" w:hAnsi="宋体" w:cs="宋体"/>
                <w:szCs w:val="21"/>
              </w:rPr>
              <w:t>核对时间</w:t>
            </w:r>
          </w:p>
        </w:tc>
      </w:tr>
      <w:tr w14:paraId="0DA8C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0" w:type="dxa"/>
            <w:vAlign w:val="center"/>
          </w:tcPr>
          <w:p w14:paraId="495C57EE">
            <w:pPr>
              <w:spacing w:line="360" w:lineRule="auto"/>
              <w:jc w:val="center"/>
              <w:rPr>
                <w:rFonts w:ascii="宋体" w:hAnsi="宋体" w:cs="宋体"/>
                <w:szCs w:val="21"/>
              </w:rPr>
            </w:pPr>
            <w:r>
              <w:rPr>
                <w:rFonts w:hint="eastAsia" w:ascii="宋体" w:hAnsi="宋体" w:cs="宋体"/>
                <w:szCs w:val="21"/>
              </w:rPr>
              <w:t>1</w:t>
            </w:r>
          </w:p>
        </w:tc>
        <w:tc>
          <w:tcPr>
            <w:tcW w:w="2520" w:type="dxa"/>
          </w:tcPr>
          <w:p w14:paraId="026B423D">
            <w:pPr>
              <w:spacing w:line="360" w:lineRule="auto"/>
              <w:rPr>
                <w:rFonts w:ascii="宋体" w:hAnsi="宋体" w:cs="宋体"/>
                <w:szCs w:val="21"/>
              </w:rPr>
            </w:pPr>
            <w:r>
              <w:rPr>
                <w:rFonts w:hint="eastAsia" w:ascii="宋体" w:hAnsi="宋体" w:cs="宋体"/>
                <w:szCs w:val="21"/>
              </w:rPr>
              <w:t>500万元以下</w:t>
            </w:r>
          </w:p>
        </w:tc>
        <w:tc>
          <w:tcPr>
            <w:tcW w:w="4982" w:type="dxa"/>
          </w:tcPr>
          <w:p w14:paraId="7B44A248">
            <w:pPr>
              <w:spacing w:line="360" w:lineRule="auto"/>
              <w:rPr>
                <w:rFonts w:ascii="宋体" w:hAnsi="宋体" w:cs="宋体"/>
                <w:szCs w:val="21"/>
              </w:rPr>
            </w:pPr>
            <w:r>
              <w:rPr>
                <w:rFonts w:hint="eastAsia" w:ascii="宋体" w:hAnsi="宋体" w:cs="宋体"/>
                <w:szCs w:val="21"/>
              </w:rPr>
              <w:t>从收到竣工结算书和结算资料之日起20天</w:t>
            </w:r>
          </w:p>
        </w:tc>
      </w:tr>
      <w:tr w14:paraId="185B6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0" w:type="dxa"/>
            <w:vAlign w:val="center"/>
          </w:tcPr>
          <w:p w14:paraId="5E3A37A5">
            <w:pPr>
              <w:spacing w:line="360" w:lineRule="auto"/>
              <w:jc w:val="center"/>
              <w:rPr>
                <w:rFonts w:ascii="宋体" w:hAnsi="宋体" w:cs="宋体"/>
                <w:szCs w:val="21"/>
              </w:rPr>
            </w:pPr>
            <w:r>
              <w:rPr>
                <w:rFonts w:hint="eastAsia" w:ascii="宋体" w:hAnsi="宋体" w:cs="宋体"/>
                <w:szCs w:val="21"/>
              </w:rPr>
              <w:t>2</w:t>
            </w:r>
          </w:p>
        </w:tc>
        <w:tc>
          <w:tcPr>
            <w:tcW w:w="2520" w:type="dxa"/>
          </w:tcPr>
          <w:p w14:paraId="49AB81CE">
            <w:pPr>
              <w:spacing w:line="360" w:lineRule="auto"/>
              <w:rPr>
                <w:rFonts w:ascii="宋体" w:hAnsi="宋体" w:cs="宋体"/>
                <w:szCs w:val="21"/>
              </w:rPr>
            </w:pPr>
            <w:r>
              <w:rPr>
                <w:rFonts w:hint="eastAsia" w:ascii="宋体" w:hAnsi="宋体" w:cs="宋体"/>
                <w:szCs w:val="21"/>
              </w:rPr>
              <w:t>500万元~2000万元</w:t>
            </w:r>
          </w:p>
        </w:tc>
        <w:tc>
          <w:tcPr>
            <w:tcW w:w="4982" w:type="dxa"/>
          </w:tcPr>
          <w:p w14:paraId="4CD9151E">
            <w:pPr>
              <w:spacing w:line="360" w:lineRule="auto"/>
              <w:rPr>
                <w:rFonts w:ascii="宋体" w:hAnsi="宋体" w:cs="宋体"/>
                <w:szCs w:val="21"/>
              </w:rPr>
            </w:pPr>
            <w:r>
              <w:rPr>
                <w:rFonts w:hint="eastAsia" w:ascii="宋体" w:hAnsi="宋体" w:cs="宋体"/>
                <w:szCs w:val="21"/>
              </w:rPr>
              <w:t>从收到竣工结算书和结算资料之日起30天</w:t>
            </w:r>
          </w:p>
        </w:tc>
      </w:tr>
      <w:tr w14:paraId="03156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0" w:type="dxa"/>
            <w:vAlign w:val="center"/>
          </w:tcPr>
          <w:p w14:paraId="540270C9">
            <w:pPr>
              <w:spacing w:line="360" w:lineRule="auto"/>
              <w:jc w:val="center"/>
              <w:rPr>
                <w:rFonts w:ascii="宋体" w:hAnsi="宋体" w:cs="宋体"/>
                <w:szCs w:val="21"/>
              </w:rPr>
            </w:pPr>
            <w:r>
              <w:rPr>
                <w:rFonts w:hint="eastAsia" w:ascii="宋体" w:hAnsi="宋体" w:cs="宋体"/>
                <w:szCs w:val="21"/>
              </w:rPr>
              <w:t>3</w:t>
            </w:r>
          </w:p>
        </w:tc>
        <w:tc>
          <w:tcPr>
            <w:tcW w:w="2520" w:type="dxa"/>
          </w:tcPr>
          <w:p w14:paraId="28615C64">
            <w:pPr>
              <w:spacing w:line="360" w:lineRule="auto"/>
              <w:rPr>
                <w:rFonts w:ascii="宋体" w:hAnsi="宋体" w:cs="宋体"/>
                <w:szCs w:val="21"/>
              </w:rPr>
            </w:pPr>
            <w:r>
              <w:rPr>
                <w:rFonts w:hint="eastAsia" w:ascii="宋体" w:hAnsi="宋体" w:cs="宋体"/>
                <w:szCs w:val="21"/>
              </w:rPr>
              <w:t>2000万元~5000万元</w:t>
            </w:r>
          </w:p>
        </w:tc>
        <w:tc>
          <w:tcPr>
            <w:tcW w:w="4982" w:type="dxa"/>
          </w:tcPr>
          <w:p w14:paraId="2DB2F5A4">
            <w:pPr>
              <w:spacing w:line="360" w:lineRule="auto"/>
              <w:rPr>
                <w:rFonts w:ascii="宋体" w:hAnsi="宋体" w:cs="宋体"/>
                <w:szCs w:val="21"/>
              </w:rPr>
            </w:pPr>
            <w:r>
              <w:rPr>
                <w:rFonts w:hint="eastAsia" w:ascii="宋体" w:hAnsi="宋体" w:cs="宋体"/>
                <w:szCs w:val="21"/>
              </w:rPr>
              <w:t>从收到竣工结算书和结算资料之日起45天</w:t>
            </w:r>
          </w:p>
        </w:tc>
      </w:tr>
      <w:tr w14:paraId="3D393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0" w:type="dxa"/>
            <w:vAlign w:val="center"/>
          </w:tcPr>
          <w:p w14:paraId="3C961210">
            <w:pPr>
              <w:spacing w:line="360" w:lineRule="auto"/>
              <w:jc w:val="center"/>
              <w:rPr>
                <w:rFonts w:ascii="宋体" w:hAnsi="宋体" w:cs="宋体"/>
                <w:szCs w:val="21"/>
              </w:rPr>
            </w:pPr>
            <w:r>
              <w:rPr>
                <w:rFonts w:hint="eastAsia" w:ascii="宋体" w:hAnsi="宋体" w:cs="宋体"/>
                <w:szCs w:val="21"/>
              </w:rPr>
              <w:t>4</w:t>
            </w:r>
          </w:p>
        </w:tc>
        <w:tc>
          <w:tcPr>
            <w:tcW w:w="2520" w:type="dxa"/>
          </w:tcPr>
          <w:p w14:paraId="01D597CC">
            <w:pPr>
              <w:spacing w:line="360" w:lineRule="auto"/>
              <w:rPr>
                <w:rFonts w:ascii="宋体" w:hAnsi="宋体" w:cs="宋体"/>
                <w:szCs w:val="21"/>
              </w:rPr>
            </w:pPr>
            <w:r>
              <w:rPr>
                <w:rFonts w:hint="eastAsia" w:ascii="宋体" w:hAnsi="宋体" w:cs="宋体"/>
                <w:szCs w:val="21"/>
              </w:rPr>
              <w:t>5000万元以上</w:t>
            </w:r>
          </w:p>
        </w:tc>
        <w:tc>
          <w:tcPr>
            <w:tcW w:w="4982" w:type="dxa"/>
          </w:tcPr>
          <w:p w14:paraId="6F4681A5">
            <w:pPr>
              <w:spacing w:line="360" w:lineRule="auto"/>
              <w:rPr>
                <w:rFonts w:ascii="宋体" w:hAnsi="宋体" w:cs="宋体"/>
                <w:szCs w:val="21"/>
              </w:rPr>
            </w:pPr>
            <w:r>
              <w:rPr>
                <w:rFonts w:hint="eastAsia" w:ascii="宋体" w:hAnsi="宋体" w:cs="宋体"/>
                <w:szCs w:val="21"/>
              </w:rPr>
              <w:t>从收到竣工结算书和结算资料之日起60天</w:t>
            </w:r>
          </w:p>
        </w:tc>
      </w:tr>
    </w:tbl>
    <w:p w14:paraId="48EC1B31">
      <w:pPr>
        <w:spacing w:line="360" w:lineRule="auto"/>
        <w:jc w:val="left"/>
        <w:rPr>
          <w:rFonts w:ascii="宋体" w:hAnsi="宋体" w:cs="宋体"/>
          <w:b/>
          <w:szCs w:val="21"/>
        </w:rPr>
      </w:pPr>
      <w:r>
        <w:rPr>
          <w:rFonts w:hint="eastAsia" w:ascii="宋体" w:hAnsi="宋体" w:cs="宋体"/>
          <w:b/>
          <w:szCs w:val="21"/>
        </w:rPr>
        <w:t>十二、违约、索赔和争议</w:t>
      </w:r>
    </w:p>
    <w:p w14:paraId="18159FBC">
      <w:pPr>
        <w:spacing w:line="360" w:lineRule="auto"/>
        <w:rPr>
          <w:rFonts w:ascii="宋体" w:hAnsi="宋体" w:cs="宋体"/>
          <w:b/>
          <w:szCs w:val="21"/>
        </w:rPr>
      </w:pPr>
      <w:r>
        <w:rPr>
          <w:rFonts w:hint="eastAsia" w:ascii="宋体" w:hAnsi="宋体" w:cs="宋体"/>
          <w:b/>
          <w:szCs w:val="21"/>
        </w:rPr>
        <w:t>25违约</w:t>
      </w:r>
    </w:p>
    <w:p w14:paraId="722EE39F">
      <w:pPr>
        <w:spacing w:line="360" w:lineRule="auto"/>
        <w:rPr>
          <w:rFonts w:ascii="宋体" w:hAnsi="宋体" w:cs="宋体"/>
          <w:szCs w:val="21"/>
          <w:u w:val="single"/>
        </w:rPr>
      </w:pPr>
      <w:r>
        <w:rPr>
          <w:rFonts w:hint="eastAsia" w:ascii="宋体" w:hAnsi="宋体" w:cs="宋体"/>
          <w:szCs w:val="21"/>
        </w:rPr>
        <w:t>25.1发包人暂停工程施工持续63天以上发包人违约责任约定：</w:t>
      </w:r>
      <w:r>
        <w:rPr>
          <w:rFonts w:hint="eastAsia" w:ascii="宋体" w:hAnsi="宋体" w:cs="宋体"/>
          <w:b/>
          <w:szCs w:val="21"/>
          <w:u w:val="single"/>
        </w:rPr>
        <w:t>任何非因承包人原因（包括本合同所定义的不可抗力原因）造成的停工、工期延误，顺延工期，发包人不补偿或赔偿承包人由此引起的任何费用或损失。</w:t>
      </w:r>
    </w:p>
    <w:p w14:paraId="6F936256">
      <w:pPr>
        <w:spacing w:line="360" w:lineRule="auto"/>
        <w:rPr>
          <w:rFonts w:ascii="宋体" w:hAnsi="宋体" w:cs="宋体"/>
          <w:szCs w:val="21"/>
          <w:u w:val="single"/>
        </w:rPr>
      </w:pPr>
      <w:r>
        <w:rPr>
          <w:rFonts w:hint="eastAsia" w:ascii="宋体" w:hAnsi="宋体" w:cs="宋体"/>
          <w:szCs w:val="21"/>
        </w:rPr>
        <w:t>25.2发包人不按时支付工程款发包人违约责任约定：</w:t>
      </w:r>
      <w:r>
        <w:rPr>
          <w:rFonts w:hint="eastAsia" w:ascii="宋体" w:hAnsi="宋体" w:cs="宋体"/>
          <w:b/>
          <w:szCs w:val="21"/>
          <w:u w:val="single"/>
        </w:rPr>
        <w:t>发包人无正当理由不按约定支付工程款的，承包人可书面催告发包人付款，并给予发包人28个日历天的付款宽限期，宽限期自发包人收到承包人的书面催告付款函之日开始起算，宽限期内发包人不支付逾期付款利息；发包人在宽限期届满后仍未付款的，发包人应按同期银行贷款利率向承包人支付逾期付款利息，但承包人不得以此为由进行停工或者以停工相威胁。</w:t>
      </w:r>
    </w:p>
    <w:p w14:paraId="7245F585">
      <w:pPr>
        <w:spacing w:line="360" w:lineRule="auto"/>
        <w:rPr>
          <w:rFonts w:ascii="宋体" w:hAnsi="宋体" w:cs="宋体"/>
          <w:szCs w:val="21"/>
          <w:u w:val="single"/>
        </w:rPr>
      </w:pPr>
      <w:r>
        <w:rPr>
          <w:rFonts w:hint="eastAsia" w:ascii="宋体" w:hAnsi="宋体" w:cs="宋体"/>
          <w:szCs w:val="21"/>
        </w:rPr>
        <w:t>25.5发包人违约的其他约定：</w:t>
      </w:r>
      <w:r>
        <w:rPr>
          <w:rFonts w:hint="eastAsia" w:ascii="宋体" w:hAnsi="宋体" w:cs="宋体"/>
          <w:bCs/>
          <w:szCs w:val="21"/>
          <w:u w:val="single"/>
        </w:rPr>
        <w:t>/</w:t>
      </w:r>
    </w:p>
    <w:p w14:paraId="7F719243">
      <w:pPr>
        <w:spacing w:line="360" w:lineRule="auto"/>
        <w:rPr>
          <w:rFonts w:ascii="宋体" w:hAnsi="宋体" w:cs="宋体"/>
          <w:b/>
          <w:szCs w:val="21"/>
        </w:rPr>
      </w:pPr>
      <w:r>
        <w:rPr>
          <w:rFonts w:hint="eastAsia" w:ascii="宋体" w:hAnsi="宋体" w:cs="宋体"/>
          <w:b/>
          <w:szCs w:val="21"/>
        </w:rPr>
        <w:t>26争议</w:t>
      </w:r>
    </w:p>
    <w:p w14:paraId="27158BAA">
      <w:pPr>
        <w:spacing w:line="360" w:lineRule="auto"/>
        <w:rPr>
          <w:rFonts w:ascii="宋体" w:hAnsi="宋体" w:cs="宋体"/>
          <w:szCs w:val="21"/>
        </w:rPr>
      </w:pPr>
      <w:r>
        <w:rPr>
          <w:rFonts w:hint="eastAsia" w:ascii="宋体" w:hAnsi="宋体" w:cs="宋体"/>
          <w:szCs w:val="21"/>
        </w:rPr>
        <w:t>26.1一方当事人不愿调解或调解不成的，应采用下列方式之一解决争议(注：只能选择一种方式，在选定的方式前的“□”内打“</w:t>
      </w:r>
      <w:r>
        <w:rPr>
          <w:rFonts w:hint="eastAsia" w:ascii="宋体" w:hAnsi="宋体" w:cs="宋体"/>
          <w:szCs w:val="21"/>
        </w:rPr>
        <w:sym w:font="Symbol" w:char="F0D6"/>
      </w:r>
      <w:r>
        <w:rPr>
          <w:rFonts w:hint="eastAsia" w:ascii="宋体" w:hAnsi="宋体" w:cs="宋体"/>
          <w:szCs w:val="21"/>
        </w:rPr>
        <w:t>”)：</w:t>
      </w:r>
    </w:p>
    <w:p w14:paraId="2AE497AD">
      <w:pPr>
        <w:spacing w:line="360" w:lineRule="auto"/>
        <w:ind w:firstLine="420" w:firstLineChars="200"/>
        <w:rPr>
          <w:rFonts w:ascii="宋体" w:hAnsi="宋体" w:cs="宋体"/>
          <w:szCs w:val="21"/>
        </w:rPr>
      </w:pPr>
      <w:r>
        <w:rPr>
          <w:rFonts w:hint="eastAsia" w:ascii="宋体" w:hAnsi="宋体" w:cs="宋体"/>
          <w:szCs w:val="21"/>
        </w:rPr>
        <w:drawing>
          <wp:inline distT="0" distB="0" distL="0" distR="0">
            <wp:extent cx="152400" cy="161925"/>
            <wp:effectExtent l="0" t="0" r="0" b="9525"/>
            <wp:docPr id="171792689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926890" name="图片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52400" cy="161925"/>
                    </a:xfrm>
                    <a:prstGeom prst="rect">
                      <a:avLst/>
                    </a:prstGeom>
                    <a:noFill/>
                    <a:ln>
                      <a:noFill/>
                    </a:ln>
                  </pic:spPr>
                </pic:pic>
              </a:graphicData>
            </a:graphic>
          </wp:inline>
        </w:drawing>
      </w:r>
      <w:r>
        <w:rPr>
          <w:rFonts w:hint="eastAsia" w:ascii="宋体" w:hAnsi="宋体" w:cs="宋体"/>
          <w:szCs w:val="21"/>
        </w:rPr>
        <w:t>提交《华南国际经济贸易仲裁委员会》仲裁；</w:t>
      </w:r>
    </w:p>
    <w:p w14:paraId="69A858FB">
      <w:pPr>
        <w:spacing w:line="360" w:lineRule="auto"/>
        <w:ind w:firstLine="420" w:firstLineChars="200"/>
        <w:rPr>
          <w:rFonts w:ascii="宋体" w:hAnsi="宋体" w:cs="宋体"/>
          <w:szCs w:val="21"/>
        </w:rPr>
      </w:pPr>
      <w:r>
        <w:rPr>
          <w:rFonts w:hint="eastAsia" w:ascii="宋体" w:hAnsi="宋体" w:cs="宋体"/>
          <w:szCs w:val="21"/>
        </w:rPr>
        <w:drawing>
          <wp:inline distT="0" distB="0" distL="0" distR="0">
            <wp:extent cx="152400" cy="161925"/>
            <wp:effectExtent l="0" t="0" r="0" b="9525"/>
            <wp:docPr id="4683623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36237" name="图片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52400" cy="161925"/>
                    </a:xfrm>
                    <a:prstGeom prst="rect">
                      <a:avLst/>
                    </a:prstGeom>
                    <a:noFill/>
                    <a:ln>
                      <a:noFill/>
                    </a:ln>
                  </pic:spPr>
                </pic:pic>
              </a:graphicData>
            </a:graphic>
          </wp:inline>
        </w:drawing>
      </w:r>
      <w:r>
        <w:rPr>
          <w:rFonts w:hint="eastAsia" w:ascii="宋体" w:hAnsi="宋体" w:cs="宋体"/>
          <w:szCs w:val="21"/>
        </w:rPr>
        <w:t>提交中国国际经济贸易仲裁委员会华南分会在深圳进行仲裁；</w:t>
      </w:r>
    </w:p>
    <w:p w14:paraId="69D1BF36">
      <w:pPr>
        <w:spacing w:line="360" w:lineRule="auto"/>
        <w:ind w:firstLine="420" w:firstLineChars="200"/>
        <w:rPr>
          <w:rFonts w:ascii="宋体" w:hAnsi="宋体" w:cs="宋体"/>
          <w:szCs w:val="21"/>
        </w:rPr>
      </w:pPr>
      <w:r>
        <w:rPr>
          <w:rFonts w:hint="eastAsia" w:ascii="宋体" w:hAnsi="宋体" w:cs="宋体"/>
          <w:szCs w:val="21"/>
        </w:rPr>
        <w:t>■向在深圳市地区具有管辖权的人民法院提起诉讼。</w:t>
      </w:r>
    </w:p>
    <w:p w14:paraId="18B7238F">
      <w:pPr>
        <w:spacing w:line="360" w:lineRule="auto"/>
        <w:jc w:val="left"/>
        <w:rPr>
          <w:rFonts w:ascii="宋体" w:hAnsi="宋体" w:cs="宋体"/>
          <w:b/>
          <w:szCs w:val="21"/>
        </w:rPr>
      </w:pPr>
      <w:r>
        <w:rPr>
          <w:rFonts w:hint="eastAsia" w:ascii="宋体" w:hAnsi="宋体" w:cs="宋体"/>
          <w:b/>
          <w:szCs w:val="21"/>
        </w:rPr>
        <w:t>十三、不可抗力</w:t>
      </w:r>
    </w:p>
    <w:p w14:paraId="0784BD7B">
      <w:pPr>
        <w:spacing w:line="360" w:lineRule="auto"/>
        <w:rPr>
          <w:rFonts w:ascii="宋体" w:hAnsi="宋体" w:cs="宋体"/>
          <w:b/>
          <w:szCs w:val="21"/>
        </w:rPr>
      </w:pPr>
      <w:r>
        <w:rPr>
          <w:rFonts w:hint="eastAsia" w:ascii="宋体" w:hAnsi="宋体" w:cs="宋体"/>
          <w:b/>
          <w:szCs w:val="21"/>
        </w:rPr>
        <w:t>27不可抗力</w:t>
      </w:r>
    </w:p>
    <w:p w14:paraId="2F8EFF7F">
      <w:pPr>
        <w:spacing w:line="360" w:lineRule="auto"/>
        <w:rPr>
          <w:rFonts w:ascii="宋体" w:hAnsi="宋体" w:cs="宋体"/>
          <w:szCs w:val="21"/>
        </w:rPr>
      </w:pPr>
      <w:r>
        <w:rPr>
          <w:rFonts w:hint="eastAsia" w:ascii="宋体" w:hAnsi="宋体" w:cs="宋体"/>
          <w:szCs w:val="21"/>
        </w:rPr>
        <w:t>27.1发包人承包人约定的其他不可抗力：</w:t>
      </w:r>
    </w:p>
    <w:p w14:paraId="1FF14D97">
      <w:pPr>
        <w:spacing w:line="360" w:lineRule="auto"/>
        <w:rPr>
          <w:rFonts w:ascii="宋体" w:hAnsi="宋体" w:cs="宋体"/>
          <w:szCs w:val="21"/>
        </w:rPr>
      </w:pPr>
      <w:r>
        <w:rPr>
          <w:rFonts w:hint="eastAsia" w:ascii="宋体" w:hAnsi="宋体" w:cs="宋体"/>
          <w:szCs w:val="21"/>
        </w:rPr>
        <w:t>(1)平均风力</w:t>
      </w:r>
      <w:r>
        <w:rPr>
          <w:rFonts w:hint="eastAsia" w:ascii="宋体" w:hAnsi="宋体" w:cs="宋体"/>
          <w:b/>
          <w:szCs w:val="21"/>
        </w:rPr>
        <w:t>8</w:t>
      </w:r>
      <w:r>
        <w:rPr>
          <w:rFonts w:hint="eastAsia" w:ascii="宋体" w:hAnsi="宋体" w:cs="宋体"/>
          <w:szCs w:val="21"/>
        </w:rPr>
        <w:t>级以上的大风(一般为8级)；</w:t>
      </w:r>
    </w:p>
    <w:p w14:paraId="199D4BEB">
      <w:pPr>
        <w:spacing w:line="360" w:lineRule="auto"/>
        <w:rPr>
          <w:rFonts w:ascii="宋体" w:hAnsi="宋体" w:cs="宋体"/>
          <w:szCs w:val="21"/>
        </w:rPr>
      </w:pPr>
      <w:r>
        <w:rPr>
          <w:rFonts w:hint="eastAsia" w:ascii="宋体" w:hAnsi="宋体" w:cs="宋体"/>
          <w:szCs w:val="21"/>
        </w:rPr>
        <w:t>(2)3个小时内降雨量为</w:t>
      </w:r>
      <w:r>
        <w:rPr>
          <w:rFonts w:hint="eastAsia" w:ascii="宋体" w:hAnsi="宋体" w:cs="宋体"/>
          <w:b/>
          <w:szCs w:val="21"/>
        </w:rPr>
        <w:t>50</w:t>
      </w:r>
      <w:r>
        <w:rPr>
          <w:rFonts w:hint="eastAsia" w:ascii="宋体" w:hAnsi="宋体" w:cs="宋体"/>
          <w:szCs w:val="21"/>
        </w:rPr>
        <w:t>mm以上的暴雨(一般为50mm)；</w:t>
      </w:r>
    </w:p>
    <w:p w14:paraId="7F01E26F">
      <w:pPr>
        <w:spacing w:line="360" w:lineRule="auto"/>
        <w:rPr>
          <w:rFonts w:ascii="宋体" w:hAnsi="宋体" w:cs="宋体"/>
          <w:szCs w:val="21"/>
        </w:rPr>
      </w:pPr>
      <w:r>
        <w:rPr>
          <w:rFonts w:hint="eastAsia" w:ascii="宋体" w:hAnsi="宋体" w:cs="宋体"/>
          <w:szCs w:val="21"/>
        </w:rPr>
        <w:t>(3)</w:t>
      </w:r>
      <w:r>
        <w:rPr>
          <w:rFonts w:hint="eastAsia" w:ascii="宋体" w:hAnsi="宋体" w:cs="宋体"/>
          <w:b/>
          <w:szCs w:val="21"/>
        </w:rPr>
        <w:t>37</w:t>
      </w:r>
      <w:r>
        <w:rPr>
          <w:rFonts w:hint="eastAsia" w:ascii="宋体" w:hAnsi="宋体" w:cs="宋体"/>
          <w:szCs w:val="21"/>
        </w:rPr>
        <w:t>摄氏度以上的高温天气(一般为37摄氏度)；</w:t>
      </w:r>
    </w:p>
    <w:p w14:paraId="57C04E0C">
      <w:pPr>
        <w:spacing w:line="360" w:lineRule="auto"/>
        <w:rPr>
          <w:rFonts w:ascii="宋体" w:hAnsi="宋体" w:cs="宋体"/>
          <w:szCs w:val="21"/>
          <w:u w:val="single"/>
        </w:rPr>
      </w:pPr>
      <w:r>
        <w:rPr>
          <w:rFonts w:hint="eastAsia" w:ascii="宋体" w:hAnsi="宋体" w:cs="宋体"/>
          <w:szCs w:val="21"/>
        </w:rPr>
        <w:t>(4)其它：</w:t>
      </w:r>
      <w:r>
        <w:rPr>
          <w:rFonts w:hint="eastAsia" w:ascii="宋体" w:hAnsi="宋体" w:cs="宋体"/>
          <w:b/>
          <w:szCs w:val="21"/>
          <w:u w:val="single"/>
        </w:rPr>
        <w:t xml:space="preserve">6级以上地震、火山爆发、雪崩、流行病疫情、政府禁令均按不可抗力事件处理。 (风力、降雨及天气以当地气象台气象记录为准)  </w:t>
      </w:r>
    </w:p>
    <w:p w14:paraId="6BC09F90">
      <w:pPr>
        <w:spacing w:line="360" w:lineRule="auto"/>
        <w:jc w:val="left"/>
        <w:rPr>
          <w:rFonts w:ascii="宋体" w:hAnsi="宋体" w:cs="宋体"/>
          <w:b/>
          <w:szCs w:val="21"/>
        </w:rPr>
      </w:pPr>
      <w:r>
        <w:rPr>
          <w:rFonts w:hint="eastAsia" w:ascii="宋体" w:hAnsi="宋体" w:cs="宋体"/>
          <w:b/>
          <w:szCs w:val="21"/>
        </w:rPr>
        <w:t>十四、保险和担保</w:t>
      </w:r>
    </w:p>
    <w:p w14:paraId="0A1E6F19">
      <w:pPr>
        <w:spacing w:line="360" w:lineRule="auto"/>
        <w:rPr>
          <w:rFonts w:ascii="宋体" w:hAnsi="宋体" w:cs="宋体"/>
          <w:b/>
          <w:szCs w:val="21"/>
        </w:rPr>
      </w:pPr>
      <w:r>
        <w:rPr>
          <w:rFonts w:hint="eastAsia" w:ascii="宋体" w:hAnsi="宋体" w:cs="宋体"/>
          <w:b/>
          <w:szCs w:val="21"/>
        </w:rPr>
        <w:t>28工程保险</w:t>
      </w:r>
    </w:p>
    <w:p w14:paraId="094C1364">
      <w:pPr>
        <w:spacing w:line="360" w:lineRule="auto"/>
        <w:rPr>
          <w:rFonts w:ascii="宋体" w:hAnsi="宋体" w:cs="宋体"/>
          <w:szCs w:val="21"/>
        </w:rPr>
      </w:pPr>
      <w:r>
        <w:rPr>
          <w:rFonts w:hint="eastAsia" w:ascii="宋体" w:hAnsi="宋体" w:cs="宋体"/>
          <w:szCs w:val="21"/>
        </w:rPr>
        <w:t>28.1发包人承包人约定工程保险事项：</w:t>
      </w:r>
    </w:p>
    <w:p w14:paraId="017AA44B">
      <w:pPr>
        <w:spacing w:line="360" w:lineRule="auto"/>
        <w:ind w:firstLine="420" w:firstLineChars="200"/>
        <w:rPr>
          <w:rFonts w:ascii="宋体" w:hAnsi="宋体" w:cs="宋体"/>
          <w:szCs w:val="21"/>
          <w:u w:val="single"/>
        </w:rPr>
      </w:pPr>
      <w:r>
        <w:rPr>
          <w:rFonts w:hint="eastAsia" w:ascii="宋体" w:hAnsi="宋体" w:cs="宋体"/>
          <w:szCs w:val="21"/>
        </w:rPr>
        <w:t>(1)发包人投保内容：/</w:t>
      </w:r>
    </w:p>
    <w:p w14:paraId="6E07AC25">
      <w:pPr>
        <w:spacing w:line="360" w:lineRule="auto"/>
        <w:ind w:firstLine="420" w:firstLineChars="200"/>
        <w:rPr>
          <w:rFonts w:ascii="宋体" w:hAnsi="宋体" w:cs="宋体"/>
          <w:szCs w:val="21"/>
          <w:u w:val="single"/>
        </w:rPr>
      </w:pPr>
      <w:r>
        <w:rPr>
          <w:rFonts w:hint="eastAsia" w:ascii="宋体" w:hAnsi="宋体" w:cs="宋体"/>
          <w:szCs w:val="21"/>
        </w:rPr>
        <w:t>(2)发包人委托承包人办理的保险事项：</w:t>
      </w:r>
      <w:r>
        <w:rPr>
          <w:rFonts w:hint="eastAsia" w:ascii="宋体" w:hAnsi="宋体" w:cs="宋体"/>
          <w:b/>
          <w:szCs w:val="21"/>
          <w:u w:val="single"/>
        </w:rPr>
        <w:t>办理建筑工程一切险和第三者责任险。</w:t>
      </w:r>
    </w:p>
    <w:p w14:paraId="34A3F981">
      <w:pPr>
        <w:spacing w:line="360" w:lineRule="auto"/>
        <w:ind w:firstLine="420" w:firstLineChars="200"/>
        <w:rPr>
          <w:rFonts w:ascii="宋体" w:hAnsi="宋体" w:cs="宋体"/>
          <w:szCs w:val="21"/>
          <w:u w:val="single"/>
        </w:rPr>
      </w:pPr>
      <w:r>
        <w:rPr>
          <w:rFonts w:hint="eastAsia" w:ascii="宋体" w:hAnsi="宋体" w:cs="宋体"/>
          <w:szCs w:val="21"/>
        </w:rPr>
        <w:t>(3)承包人投保内容：</w:t>
      </w:r>
      <w:r>
        <w:rPr>
          <w:rFonts w:hint="eastAsia" w:ascii="宋体" w:hAnsi="宋体" w:cs="宋体"/>
          <w:b/>
          <w:szCs w:val="21"/>
          <w:u w:val="single"/>
        </w:rPr>
        <w:t>承包人须负责承担发包人投保的建筑工程一切险及第三者责任险保险单的免赔额。承包人必须为从事危险作业的职工及其他所有参与施工的人员办理意外伤害保险，并为施工场地内承包人的自有人员生命财产及施工机械设备办理保险，支付保险费用，承包人应确保上述保险自工程开始施工直至竣工验收合格的期限内持续有效。承包人未按上述规定投保所引起的一切责任均由承包人承担。承包人按施工安全规范和采取预防事故的措施，确保施工安全和第三者安全；凡施工中发生的一切安全事故，均由承包人负责所发生事故的依法应该支付的损失赔偿费、抚恤费和法律责任，发包人不承担此责任。</w:t>
      </w:r>
    </w:p>
    <w:p w14:paraId="524B5490">
      <w:pPr>
        <w:spacing w:line="360" w:lineRule="auto"/>
        <w:rPr>
          <w:rFonts w:ascii="宋体" w:hAnsi="宋体" w:cs="宋体"/>
          <w:b/>
          <w:szCs w:val="21"/>
        </w:rPr>
      </w:pPr>
      <w:r>
        <w:rPr>
          <w:rFonts w:hint="eastAsia" w:ascii="宋体" w:hAnsi="宋体" w:cs="宋体"/>
          <w:b/>
          <w:szCs w:val="21"/>
        </w:rPr>
        <w:t>29工程担保</w:t>
      </w:r>
    </w:p>
    <w:p w14:paraId="6A2DBFCB">
      <w:pPr>
        <w:spacing w:line="360" w:lineRule="auto"/>
        <w:rPr>
          <w:rFonts w:ascii="宋体" w:hAnsi="宋体" w:cs="宋体"/>
          <w:szCs w:val="21"/>
        </w:rPr>
      </w:pPr>
      <w:r>
        <w:rPr>
          <w:rFonts w:hint="eastAsia" w:ascii="宋体" w:hAnsi="宋体" w:cs="宋体"/>
          <w:szCs w:val="21"/>
        </w:rPr>
        <w:t>29.1履约担保金额为：</w:t>
      </w:r>
      <w:r>
        <w:rPr>
          <w:rFonts w:hint="eastAsia" w:ascii="宋体" w:hAnsi="宋体" w:cs="宋体"/>
          <w:bCs/>
          <w:szCs w:val="21"/>
          <w:u w:val="single"/>
        </w:rPr>
        <w:t>/</w:t>
      </w:r>
    </w:p>
    <w:p w14:paraId="43267CBC">
      <w:pPr>
        <w:spacing w:line="360" w:lineRule="auto"/>
        <w:ind w:firstLine="420" w:firstLineChars="200"/>
        <w:rPr>
          <w:rFonts w:ascii="宋体" w:hAnsi="宋体" w:cs="宋体"/>
          <w:szCs w:val="21"/>
        </w:rPr>
      </w:pPr>
      <w:r>
        <w:rPr>
          <w:rFonts w:hint="eastAsia" w:ascii="宋体" w:hAnsi="宋体" w:cs="宋体"/>
          <w:szCs w:val="21"/>
        </w:rPr>
        <w:t>支付担保金额为：</w:t>
      </w:r>
      <w:r>
        <w:rPr>
          <w:rFonts w:hint="eastAsia" w:ascii="宋体" w:hAnsi="宋体" w:cs="宋体"/>
          <w:b/>
          <w:szCs w:val="21"/>
          <w:u w:val="single"/>
        </w:rPr>
        <w:t>无.</w:t>
      </w:r>
    </w:p>
    <w:p w14:paraId="6B4A31D5">
      <w:pPr>
        <w:spacing w:line="360" w:lineRule="auto"/>
        <w:rPr>
          <w:rFonts w:ascii="宋体" w:hAnsi="宋体" w:cs="宋体"/>
          <w:szCs w:val="21"/>
          <w:u w:val="single"/>
        </w:rPr>
      </w:pPr>
      <w:r>
        <w:rPr>
          <w:rFonts w:hint="eastAsia" w:ascii="宋体" w:hAnsi="宋体" w:cs="宋体"/>
          <w:szCs w:val="21"/>
        </w:rPr>
        <w:t>29.2担保方式和其他担保事项约定：</w:t>
      </w:r>
      <w:r>
        <w:rPr>
          <w:rFonts w:hint="eastAsia" w:ascii="宋体" w:hAnsi="宋体" w:cs="宋体"/>
          <w:b/>
          <w:szCs w:val="21"/>
          <w:u w:val="single"/>
        </w:rPr>
        <w:t>履约保函为金融机构出具的保函，保函担保期内无法完工的，承包人应在保函有效期满前按补充条款的约定办理续保手续，并提交续保保函原件，有关续保费用已包含在合同价款中，其费用由承包人承担。</w:t>
      </w:r>
    </w:p>
    <w:p w14:paraId="54B7D1CE">
      <w:pPr>
        <w:spacing w:line="360" w:lineRule="auto"/>
        <w:jc w:val="left"/>
        <w:rPr>
          <w:rFonts w:ascii="宋体" w:hAnsi="宋体" w:cs="宋体"/>
          <w:b/>
          <w:szCs w:val="21"/>
        </w:rPr>
      </w:pPr>
      <w:r>
        <w:rPr>
          <w:rFonts w:hint="eastAsia" w:ascii="宋体" w:hAnsi="宋体" w:cs="宋体"/>
          <w:b/>
          <w:szCs w:val="21"/>
        </w:rPr>
        <w:t>十五、合同的生效、终止和解除</w:t>
      </w:r>
    </w:p>
    <w:p w14:paraId="51BC8BE5">
      <w:pPr>
        <w:spacing w:line="360" w:lineRule="auto"/>
        <w:rPr>
          <w:rFonts w:ascii="宋体" w:hAnsi="宋体" w:cs="宋体"/>
          <w:b/>
          <w:szCs w:val="21"/>
        </w:rPr>
      </w:pPr>
      <w:r>
        <w:rPr>
          <w:rFonts w:hint="eastAsia" w:ascii="宋体" w:hAnsi="宋体" w:cs="宋体"/>
          <w:b/>
          <w:szCs w:val="21"/>
        </w:rPr>
        <w:t>30合同份数</w:t>
      </w:r>
    </w:p>
    <w:p w14:paraId="46F1C208">
      <w:pPr>
        <w:spacing w:line="360" w:lineRule="auto"/>
        <w:rPr>
          <w:rFonts w:ascii="宋体" w:hAnsi="宋体" w:cs="宋体"/>
          <w:szCs w:val="21"/>
          <w:u w:val="single"/>
        </w:rPr>
      </w:pPr>
      <w:r>
        <w:rPr>
          <w:rFonts w:hint="eastAsia" w:ascii="宋体" w:hAnsi="宋体" w:cs="宋体"/>
          <w:szCs w:val="21"/>
        </w:rPr>
        <w:t>30.1合同份数：</w:t>
      </w:r>
      <w:r>
        <w:rPr>
          <w:rFonts w:hint="eastAsia" w:ascii="宋体" w:hAnsi="宋体" w:cs="宋体"/>
          <w:b/>
          <w:szCs w:val="21"/>
          <w:u w:val="single"/>
        </w:rPr>
        <w:t>陆份</w:t>
      </w:r>
      <w:r>
        <w:rPr>
          <w:rFonts w:hint="eastAsia" w:ascii="宋体" w:hAnsi="宋体" w:cs="宋体"/>
          <w:szCs w:val="21"/>
        </w:rPr>
        <w:t>，其中发包人</w:t>
      </w:r>
      <w:r>
        <w:rPr>
          <w:rFonts w:hint="eastAsia" w:ascii="宋体" w:hAnsi="宋体" w:cs="宋体"/>
          <w:b/>
          <w:szCs w:val="21"/>
          <w:u w:val="single"/>
        </w:rPr>
        <w:t xml:space="preserve">肆 </w:t>
      </w:r>
      <w:r>
        <w:rPr>
          <w:rFonts w:hint="eastAsia" w:ascii="宋体" w:hAnsi="宋体" w:cs="宋体"/>
          <w:szCs w:val="21"/>
        </w:rPr>
        <w:t>份，承包人</w:t>
      </w:r>
      <w:r>
        <w:rPr>
          <w:rFonts w:hint="eastAsia" w:ascii="宋体" w:hAnsi="宋体" w:cs="宋体"/>
          <w:b/>
          <w:szCs w:val="21"/>
          <w:u w:val="single"/>
        </w:rPr>
        <w:t xml:space="preserve">贰 </w:t>
      </w:r>
      <w:r>
        <w:rPr>
          <w:rFonts w:hint="eastAsia" w:ascii="宋体" w:hAnsi="宋体" w:cs="宋体"/>
          <w:szCs w:val="21"/>
        </w:rPr>
        <w:t>份。</w:t>
      </w:r>
    </w:p>
    <w:p w14:paraId="60C85AF8">
      <w:pPr>
        <w:spacing w:line="360" w:lineRule="auto"/>
        <w:ind w:firstLine="525" w:firstLineChars="250"/>
        <w:rPr>
          <w:rFonts w:ascii="宋体" w:hAnsi="宋体" w:cs="宋体"/>
          <w:szCs w:val="21"/>
        </w:rPr>
      </w:pPr>
      <w:r>
        <w:rPr>
          <w:rFonts w:hint="eastAsia" w:ascii="宋体" w:hAnsi="宋体" w:cs="宋体"/>
          <w:szCs w:val="21"/>
        </w:rPr>
        <w:t>合同副本其它保存单位及份数：</w:t>
      </w:r>
    </w:p>
    <w:p w14:paraId="610ED4A9">
      <w:pPr>
        <w:spacing w:line="360" w:lineRule="auto"/>
        <w:ind w:firstLine="527" w:firstLineChars="250"/>
        <w:rPr>
          <w:rFonts w:ascii="宋体" w:hAnsi="宋体" w:cs="宋体"/>
          <w:szCs w:val="21"/>
          <w:u w:val="single"/>
        </w:rPr>
      </w:pPr>
      <w:r>
        <w:rPr>
          <w:rFonts w:hint="eastAsia" w:ascii="宋体" w:hAnsi="宋体" w:cs="宋体"/>
          <w:b/>
          <w:szCs w:val="21"/>
          <w:u w:val="single"/>
        </w:rPr>
        <w:t>发包人、承包人、建设行政主管部门等。</w:t>
      </w:r>
    </w:p>
    <w:p w14:paraId="34A52A24">
      <w:pPr>
        <w:widowControl/>
        <w:spacing w:line="360" w:lineRule="auto"/>
        <w:jc w:val="left"/>
        <w:rPr>
          <w:rFonts w:ascii="宋体" w:hAnsi="宋体" w:cs="宋体"/>
          <w:kern w:val="0"/>
          <w:szCs w:val="21"/>
        </w:rPr>
      </w:pPr>
    </w:p>
    <w:p w14:paraId="5893406C">
      <w:pPr>
        <w:widowControl/>
        <w:spacing w:line="360" w:lineRule="auto"/>
        <w:jc w:val="left"/>
        <w:rPr>
          <w:rFonts w:ascii="宋体" w:hAnsi="宋体" w:cs="宋体"/>
          <w:kern w:val="0"/>
          <w:szCs w:val="21"/>
        </w:rPr>
      </w:pPr>
      <w:r>
        <w:rPr>
          <w:rFonts w:hint="eastAsia" w:ascii="宋体" w:hAnsi="宋体" w:cs="宋体"/>
          <w:kern w:val="0"/>
          <w:szCs w:val="21"/>
        </w:rPr>
        <w:fldChar w:fldCharType="begin"/>
      </w:r>
      <w:r>
        <w:rPr>
          <w:rFonts w:hint="eastAsia" w:ascii="宋体" w:hAnsi="宋体" w:cs="宋体"/>
          <w:kern w:val="0"/>
          <w:szCs w:val="21"/>
        </w:rPr>
        <w:instrText xml:space="preserve">AUTOTEXT  专用条款 \* MERGEFORMAT</w:instrText>
      </w:r>
      <w:r>
        <w:rPr>
          <w:rFonts w:hint="eastAsia" w:ascii="宋体" w:hAnsi="宋体" w:cs="宋体"/>
          <w:kern w:val="0"/>
          <w:szCs w:val="21"/>
        </w:rPr>
        <w:fldChar w:fldCharType="end"/>
      </w:r>
      <w:r>
        <w:rPr>
          <w:rFonts w:hint="eastAsia" w:ascii="宋体" w:hAnsi="宋体" w:cs="宋体"/>
          <w:kern w:val="0"/>
          <w:szCs w:val="21"/>
        </w:rPr>
        <w:br w:type="page"/>
      </w:r>
    </w:p>
    <w:p w14:paraId="57F09844">
      <w:pPr>
        <w:widowControl/>
        <w:spacing w:line="360" w:lineRule="auto"/>
        <w:rPr>
          <w:rFonts w:ascii="宋体" w:hAnsi="宋体" w:cs="宋体"/>
          <w:b/>
          <w:bCs/>
          <w:kern w:val="0"/>
          <w:sz w:val="32"/>
          <w:szCs w:val="32"/>
        </w:rPr>
      </w:pPr>
      <w:r>
        <w:rPr>
          <w:rFonts w:hint="eastAsia" w:ascii="宋体" w:hAnsi="宋体" w:cs="宋体"/>
          <w:b/>
          <w:bCs/>
          <w:kern w:val="0"/>
          <w:sz w:val="32"/>
          <w:szCs w:val="32"/>
        </w:rPr>
        <w:t>附件1：</w:t>
      </w:r>
    </w:p>
    <w:p w14:paraId="55016D56">
      <w:pPr>
        <w:widowControl/>
        <w:spacing w:line="360" w:lineRule="auto"/>
        <w:jc w:val="center"/>
        <w:rPr>
          <w:rFonts w:ascii="宋体" w:hAnsi="宋体" w:cs="宋体"/>
          <w:b/>
          <w:bCs/>
          <w:kern w:val="0"/>
          <w:sz w:val="32"/>
          <w:szCs w:val="32"/>
        </w:rPr>
      </w:pPr>
      <w:r>
        <w:rPr>
          <w:rFonts w:hint="eastAsia" w:ascii="宋体" w:hAnsi="宋体" w:cs="宋体"/>
          <w:b/>
          <w:bCs/>
          <w:kern w:val="0"/>
          <w:sz w:val="32"/>
          <w:szCs w:val="32"/>
        </w:rPr>
        <w:t>维护农民工合法权益合同</w:t>
      </w:r>
    </w:p>
    <w:p w14:paraId="2ACF11FC">
      <w:pPr>
        <w:spacing w:line="360" w:lineRule="auto"/>
        <w:jc w:val="center"/>
        <w:rPr>
          <w:rFonts w:ascii="宋体" w:hAnsi="宋体" w:cs="宋体"/>
          <w:szCs w:val="21"/>
        </w:rPr>
      </w:pPr>
    </w:p>
    <w:p w14:paraId="7F0EB66A">
      <w:pPr>
        <w:snapToGrid w:val="0"/>
        <w:spacing w:line="360" w:lineRule="auto"/>
        <w:ind w:firstLine="539" w:firstLineChars="257"/>
        <w:rPr>
          <w:rFonts w:ascii="宋体" w:hAnsi="宋体" w:cs="宋体"/>
          <w:kern w:val="0"/>
          <w:szCs w:val="21"/>
        </w:rPr>
      </w:pPr>
      <w:r>
        <w:rPr>
          <w:rFonts w:hint="eastAsia" w:ascii="宋体" w:hAnsi="宋体" w:cs="宋体"/>
          <w:kern w:val="0"/>
          <w:szCs w:val="21"/>
        </w:rPr>
        <w:t>根据《中华人民共和国劳动民法典法》、《建设领域农民工工资支付管理暂行办法》等有关法律、法规，为维护农民工合法权益，（下称“本工程”）的业主单位</w:t>
      </w:r>
      <w:r>
        <w:rPr>
          <w:rFonts w:hint="eastAsia" w:ascii="宋体" w:hAnsi="宋体" w:cs="宋体"/>
          <w:kern w:val="0"/>
          <w:szCs w:val="21"/>
          <w:u w:val="single"/>
        </w:rPr>
        <w:t>中华人民共和国皇岗海关</w:t>
      </w:r>
      <w:r>
        <w:rPr>
          <w:rFonts w:hint="eastAsia" w:ascii="宋体" w:hAnsi="宋体" w:cs="宋体"/>
          <w:kern w:val="0"/>
          <w:szCs w:val="21"/>
        </w:rPr>
        <w:t>（以下称发包人）与本工程施工单位以下称承包人），特订立如下合同。</w:t>
      </w:r>
    </w:p>
    <w:p w14:paraId="29A31C89">
      <w:pPr>
        <w:snapToGrid w:val="0"/>
        <w:spacing w:line="360" w:lineRule="auto"/>
        <w:ind w:firstLine="413" w:firstLineChars="196"/>
        <w:rPr>
          <w:rFonts w:ascii="宋体" w:hAnsi="宋体" w:cs="宋体"/>
          <w:b/>
          <w:kern w:val="0"/>
          <w:szCs w:val="21"/>
        </w:rPr>
      </w:pPr>
      <w:r>
        <w:rPr>
          <w:rFonts w:hint="eastAsia" w:ascii="宋体" w:hAnsi="宋体" w:cs="宋体"/>
          <w:b/>
          <w:kern w:val="0"/>
          <w:szCs w:val="21"/>
        </w:rPr>
        <w:t>1、发包人的权利和义务</w:t>
      </w:r>
    </w:p>
    <w:p w14:paraId="28EC1098">
      <w:pPr>
        <w:snapToGrid w:val="0"/>
        <w:spacing w:line="360" w:lineRule="auto"/>
        <w:ind w:firstLine="411" w:firstLineChars="196"/>
        <w:rPr>
          <w:rFonts w:ascii="宋体" w:hAnsi="宋体" w:cs="宋体"/>
          <w:b/>
          <w:kern w:val="0"/>
          <w:szCs w:val="21"/>
        </w:rPr>
      </w:pPr>
      <w:r>
        <w:rPr>
          <w:rFonts w:hint="eastAsia" w:ascii="宋体" w:hAnsi="宋体" w:cs="宋体"/>
          <w:kern w:val="0"/>
          <w:szCs w:val="21"/>
        </w:rPr>
        <w:t>(1)发包人有权会同地方政府劳动和社会保障行政部门对承包人执行本合同的情况进行监督检查。</w:t>
      </w:r>
    </w:p>
    <w:p w14:paraId="3DE33CF6">
      <w:pPr>
        <w:snapToGrid w:val="0"/>
        <w:spacing w:line="360" w:lineRule="auto"/>
        <w:ind w:firstLine="411" w:firstLineChars="196"/>
        <w:rPr>
          <w:rFonts w:ascii="宋体" w:hAnsi="宋体" w:cs="宋体"/>
          <w:b/>
          <w:kern w:val="0"/>
          <w:szCs w:val="21"/>
        </w:rPr>
      </w:pPr>
      <w:r>
        <w:rPr>
          <w:rFonts w:hint="eastAsia" w:ascii="宋体" w:hAnsi="宋体" w:cs="宋体"/>
          <w:kern w:val="0"/>
          <w:szCs w:val="21"/>
        </w:rPr>
        <w:t>(2)发包人有权在承包人施工现场设置举报箱，有权对承包人与所雇佣农民工签订劳动合同、农民工工资发放情况及农民工对欠薪或克扣工资等投诉进行调查核实。</w:t>
      </w:r>
    </w:p>
    <w:p w14:paraId="00560DA7">
      <w:pPr>
        <w:snapToGrid w:val="0"/>
        <w:spacing w:line="360" w:lineRule="auto"/>
        <w:ind w:firstLine="411" w:firstLineChars="196"/>
        <w:rPr>
          <w:rFonts w:ascii="宋体" w:hAnsi="宋体" w:cs="宋体"/>
          <w:b/>
          <w:kern w:val="0"/>
          <w:szCs w:val="21"/>
        </w:rPr>
      </w:pPr>
      <w:r>
        <w:rPr>
          <w:rFonts w:hint="eastAsia" w:ascii="宋体" w:hAnsi="宋体" w:cs="宋体"/>
          <w:kern w:val="0"/>
          <w:szCs w:val="21"/>
        </w:rPr>
        <w:t>(3)承包人未按合同约定支付农民工工资或拖欠农民工工资经核查属实的，发包人有权先行从未结清的工程款垫付农民工工资，同时承包人应无条件接受，先行垫付的工资数额以未结清的工程款为限。</w:t>
      </w:r>
    </w:p>
    <w:p w14:paraId="5F4C5DF1">
      <w:pPr>
        <w:snapToGrid w:val="0"/>
        <w:spacing w:line="360" w:lineRule="auto"/>
        <w:ind w:firstLine="411" w:firstLineChars="196"/>
        <w:rPr>
          <w:rFonts w:ascii="宋体" w:hAnsi="宋体" w:cs="宋体"/>
          <w:kern w:val="0"/>
          <w:szCs w:val="21"/>
        </w:rPr>
      </w:pPr>
      <w:r>
        <w:rPr>
          <w:rFonts w:hint="eastAsia" w:ascii="宋体" w:hAnsi="宋体" w:cs="宋体"/>
          <w:kern w:val="0"/>
          <w:szCs w:val="21"/>
        </w:rPr>
        <w:t>(4)农民工对无故拖欠工资或克扣工资的投诉一旦被确定为有效投诉时，出现一次则发包人有权给予承包人通报批评并处以罚款10万元，出现二次则发包人给予承包人严重警告并处以罚款20万元，情节严重者可移交深圳市人力资源和社会保障局等有关政府主管部门处理。</w:t>
      </w:r>
    </w:p>
    <w:p w14:paraId="74D3C907">
      <w:pPr>
        <w:snapToGrid w:val="0"/>
        <w:spacing w:line="360" w:lineRule="auto"/>
        <w:ind w:firstLine="411" w:firstLineChars="196"/>
        <w:rPr>
          <w:rFonts w:ascii="宋体" w:hAnsi="宋体" w:cs="宋体"/>
          <w:kern w:val="0"/>
          <w:szCs w:val="21"/>
        </w:rPr>
      </w:pPr>
      <w:r>
        <w:rPr>
          <w:rFonts w:hint="eastAsia" w:ascii="宋体" w:hAnsi="宋体" w:cs="宋体"/>
          <w:kern w:val="0"/>
          <w:szCs w:val="21"/>
        </w:rPr>
        <w:t>工程预付款、进度款及结算款等款项将由中华人民共和国前海海关审定后按深圳市政府投资资金直接支付相关规定向承包人拨付工程款，非发包人责任原因（如发包人在规定时间内已将支付申请报送政府相关部门，但政府相关部门因履行审批程序未按期支付等原因）导致的支付迟延，发包人不承担工程款未按时支付的责任，承包人在经发包人最终协调未果的情况下才可行使合同规定的相关权利。</w:t>
      </w:r>
    </w:p>
    <w:p w14:paraId="1CB507E8">
      <w:pPr>
        <w:snapToGrid w:val="0"/>
        <w:spacing w:line="360" w:lineRule="auto"/>
        <w:ind w:firstLine="413" w:firstLineChars="196"/>
        <w:rPr>
          <w:rFonts w:ascii="宋体" w:hAnsi="宋体" w:cs="宋体"/>
          <w:b/>
          <w:kern w:val="0"/>
          <w:szCs w:val="21"/>
        </w:rPr>
      </w:pPr>
      <w:r>
        <w:rPr>
          <w:rFonts w:hint="eastAsia" w:ascii="宋体" w:hAnsi="宋体" w:cs="宋体"/>
          <w:b/>
          <w:kern w:val="0"/>
          <w:szCs w:val="21"/>
        </w:rPr>
        <w:t>2、承包人的权利和义务</w:t>
      </w:r>
    </w:p>
    <w:p w14:paraId="16BBD08C">
      <w:pPr>
        <w:snapToGrid w:val="0"/>
        <w:spacing w:line="360" w:lineRule="auto"/>
        <w:ind w:firstLine="411" w:firstLineChars="196"/>
        <w:rPr>
          <w:rFonts w:ascii="宋体" w:hAnsi="宋体" w:cs="宋体"/>
          <w:kern w:val="0"/>
          <w:szCs w:val="21"/>
        </w:rPr>
      </w:pPr>
      <w:r>
        <w:rPr>
          <w:rFonts w:hint="eastAsia" w:ascii="宋体" w:hAnsi="宋体" w:cs="宋体"/>
          <w:kern w:val="0"/>
          <w:szCs w:val="21"/>
        </w:rPr>
        <w:t>(1)承包人应严格按照《中华人民共和国劳动法》、《中华人民共和国劳动合同法》和有关规定，经平等协商一致，与所雇佣农民工签订劳动合同。合同条款应包括：劳动合同期限、工作内容和工作时间、劳动保护和劳动条件、劳动报酬、劳动纪律、违反劳动合同的责任等。</w:t>
      </w:r>
    </w:p>
    <w:p w14:paraId="2FA71671">
      <w:pPr>
        <w:snapToGrid w:val="0"/>
        <w:spacing w:line="360" w:lineRule="auto"/>
        <w:ind w:firstLine="411" w:firstLineChars="196"/>
        <w:rPr>
          <w:rFonts w:ascii="宋体" w:hAnsi="宋体" w:cs="宋体"/>
          <w:kern w:val="0"/>
          <w:szCs w:val="21"/>
        </w:rPr>
      </w:pPr>
      <w:r>
        <w:rPr>
          <w:rFonts w:hint="eastAsia" w:ascii="宋体" w:hAnsi="宋体" w:cs="宋体"/>
          <w:kern w:val="0"/>
          <w:szCs w:val="21"/>
        </w:rPr>
        <w:t>(2)承包人应严格按照《中华人民共和国劳动法》、《中华人民共和国劳动合同法》、《建设领域农民工工资支付管理暂行办法》、《工资支付暂行规定》等有关规定雇用农民工，按时、足额向履约农民工支付工资报酬（包括加班、加点工资），支付给农民工的工资不得低于深圳市最低工资标准，不得无故拖欠或克扣农民工工资。</w:t>
      </w:r>
    </w:p>
    <w:p w14:paraId="7DBE0A7A">
      <w:pPr>
        <w:snapToGrid w:val="0"/>
        <w:spacing w:line="360" w:lineRule="auto"/>
        <w:ind w:firstLine="411" w:firstLineChars="196"/>
        <w:rPr>
          <w:rFonts w:ascii="宋体" w:hAnsi="宋体" w:cs="宋体"/>
          <w:kern w:val="0"/>
          <w:szCs w:val="21"/>
        </w:rPr>
      </w:pPr>
      <w:r>
        <w:rPr>
          <w:rFonts w:hint="eastAsia" w:ascii="宋体" w:hAnsi="宋体" w:cs="宋体"/>
          <w:kern w:val="0"/>
          <w:szCs w:val="21"/>
        </w:rPr>
        <w:t>(3)承包人应将工资直接发放给农民工本人，本人因故不能领取工资时，可由其亲属或委托他人代领，也可委托银行发放农民工工资。严禁发放给“包工头”或其他不具备用工主体资格的组织和个人。</w:t>
      </w:r>
    </w:p>
    <w:p w14:paraId="5A6DA739">
      <w:pPr>
        <w:snapToGrid w:val="0"/>
        <w:spacing w:line="360" w:lineRule="auto"/>
        <w:ind w:firstLine="411" w:firstLineChars="196"/>
        <w:rPr>
          <w:rFonts w:ascii="宋体" w:hAnsi="宋体" w:cs="宋体"/>
          <w:kern w:val="0"/>
          <w:szCs w:val="21"/>
        </w:rPr>
      </w:pPr>
      <w:r>
        <w:rPr>
          <w:rFonts w:hint="eastAsia" w:ascii="宋体" w:hAnsi="宋体" w:cs="宋体"/>
          <w:kern w:val="0"/>
          <w:szCs w:val="21"/>
        </w:rPr>
        <w:t>(4)承包人支付农民工工资应编制工资支付表，如实记录支付单位、支付时间、支付对象、支付数额等工资支付情况，并保存备查。</w:t>
      </w:r>
    </w:p>
    <w:p w14:paraId="6E53DB09">
      <w:pPr>
        <w:snapToGrid w:val="0"/>
        <w:spacing w:line="360" w:lineRule="auto"/>
        <w:ind w:firstLine="411" w:firstLineChars="196"/>
        <w:rPr>
          <w:rFonts w:ascii="宋体" w:hAnsi="宋体" w:cs="宋体"/>
          <w:kern w:val="0"/>
          <w:szCs w:val="21"/>
        </w:rPr>
      </w:pPr>
      <w:r>
        <w:rPr>
          <w:rFonts w:hint="eastAsia" w:ascii="宋体" w:hAnsi="宋体" w:cs="宋体"/>
          <w:kern w:val="0"/>
          <w:szCs w:val="21"/>
        </w:rPr>
        <w:t>(5)承包人必须按深圳市政府规定的标准为履约农民工缴纳社会保险（包括基本养老、医疗保险及工伤保险等），同时须为所雇用农民工办理建筑工程人身意外伤害保险。</w:t>
      </w:r>
    </w:p>
    <w:p w14:paraId="1914EC40">
      <w:pPr>
        <w:snapToGrid w:val="0"/>
        <w:spacing w:line="360" w:lineRule="auto"/>
        <w:ind w:firstLine="411" w:firstLineChars="196"/>
        <w:rPr>
          <w:rFonts w:ascii="宋体" w:hAnsi="宋体" w:cs="宋体"/>
          <w:kern w:val="0"/>
          <w:szCs w:val="21"/>
        </w:rPr>
      </w:pPr>
      <w:r>
        <w:rPr>
          <w:rFonts w:hint="eastAsia" w:ascii="宋体" w:hAnsi="宋体" w:cs="宋体"/>
          <w:kern w:val="0"/>
          <w:szCs w:val="21"/>
        </w:rPr>
        <w:t>(6)承包人必须按政策规定和行业要求向履约农民工发放劳动保护器具和费用（包括高温、高危津贴等）；</w:t>
      </w:r>
    </w:p>
    <w:p w14:paraId="60C524AA">
      <w:pPr>
        <w:snapToGrid w:val="0"/>
        <w:spacing w:line="360" w:lineRule="auto"/>
        <w:ind w:firstLine="411" w:firstLineChars="196"/>
        <w:rPr>
          <w:rFonts w:ascii="宋体" w:hAnsi="宋体" w:cs="宋体"/>
          <w:kern w:val="0"/>
          <w:szCs w:val="21"/>
        </w:rPr>
      </w:pPr>
      <w:r>
        <w:rPr>
          <w:rFonts w:hint="eastAsia" w:ascii="宋体" w:hAnsi="宋体" w:cs="宋体"/>
          <w:kern w:val="0"/>
          <w:szCs w:val="21"/>
        </w:rPr>
        <w:t>(7)承包人必须采取安全生产和保卫措施，确保履约农民工照章操作和人身安全。</w:t>
      </w:r>
    </w:p>
    <w:p w14:paraId="175D9832">
      <w:pPr>
        <w:snapToGrid w:val="0"/>
        <w:spacing w:line="360" w:lineRule="auto"/>
        <w:ind w:firstLine="413" w:firstLineChars="196"/>
        <w:rPr>
          <w:rFonts w:ascii="宋体" w:hAnsi="宋体" w:cs="宋体"/>
          <w:kern w:val="0"/>
          <w:szCs w:val="21"/>
        </w:rPr>
      </w:pPr>
      <w:r>
        <w:rPr>
          <w:rFonts w:hint="eastAsia" w:ascii="宋体" w:hAnsi="宋体" w:cs="宋体"/>
          <w:b/>
          <w:kern w:val="0"/>
          <w:szCs w:val="21"/>
        </w:rPr>
        <w:t>3、</w:t>
      </w:r>
      <w:r>
        <w:rPr>
          <w:rFonts w:hint="eastAsia" w:ascii="宋体" w:hAnsi="宋体" w:cs="宋体"/>
          <w:kern w:val="0"/>
          <w:szCs w:val="21"/>
        </w:rPr>
        <w:t>本合同有效期为甲乙双方签署之日起至该工程项目竣工验收后止。</w:t>
      </w:r>
    </w:p>
    <w:p w14:paraId="6521EE6F">
      <w:pPr>
        <w:snapToGrid w:val="0"/>
        <w:spacing w:line="360" w:lineRule="auto"/>
        <w:ind w:firstLine="413" w:firstLineChars="196"/>
        <w:rPr>
          <w:rFonts w:ascii="宋体" w:hAnsi="宋体" w:cs="宋体"/>
          <w:kern w:val="0"/>
          <w:szCs w:val="21"/>
        </w:rPr>
      </w:pPr>
      <w:r>
        <w:rPr>
          <w:rFonts w:hint="eastAsia" w:ascii="宋体" w:hAnsi="宋体" w:cs="宋体"/>
          <w:b/>
          <w:kern w:val="0"/>
          <w:szCs w:val="21"/>
        </w:rPr>
        <w:t>4、</w:t>
      </w:r>
      <w:r>
        <w:rPr>
          <w:rFonts w:hint="eastAsia" w:ascii="宋体" w:hAnsi="宋体" w:cs="宋体"/>
          <w:kern w:val="0"/>
          <w:szCs w:val="21"/>
        </w:rPr>
        <w:t>本合同作为合同协议书的附加，与合同协议书具有同等的法律效力，经合同双方签署立即生效。</w:t>
      </w:r>
    </w:p>
    <w:p w14:paraId="5FF1B499">
      <w:pPr>
        <w:snapToGrid w:val="0"/>
        <w:spacing w:line="360" w:lineRule="auto"/>
        <w:ind w:firstLine="413" w:firstLineChars="196"/>
        <w:rPr>
          <w:rFonts w:ascii="宋体" w:hAnsi="宋体" w:cs="宋体"/>
          <w:kern w:val="0"/>
          <w:szCs w:val="21"/>
        </w:rPr>
      </w:pPr>
      <w:r>
        <w:rPr>
          <w:rFonts w:hint="eastAsia" w:ascii="宋体" w:hAnsi="宋体" w:cs="宋体"/>
          <w:b/>
          <w:kern w:val="0"/>
          <w:szCs w:val="21"/>
        </w:rPr>
        <w:t>5、</w:t>
      </w:r>
      <w:r>
        <w:rPr>
          <w:rFonts w:hint="eastAsia" w:ascii="宋体" w:hAnsi="宋体" w:cs="宋体"/>
          <w:kern w:val="0"/>
          <w:szCs w:val="21"/>
        </w:rPr>
        <w:t>本合同书一式  份，发包人持  份，承包人持  份，具有同等效力。</w:t>
      </w:r>
    </w:p>
    <w:tbl>
      <w:tblPr>
        <w:tblStyle w:val="50"/>
        <w:tblpPr w:leftFromText="180" w:rightFromText="180" w:vertAnchor="text" w:horzAnchor="page" w:tblpX="1306" w:tblpY="231"/>
        <w:tblW w:w="9180" w:type="dxa"/>
        <w:tblInd w:w="0" w:type="dxa"/>
        <w:tblLayout w:type="fixed"/>
        <w:tblCellMar>
          <w:top w:w="0" w:type="dxa"/>
          <w:left w:w="108" w:type="dxa"/>
          <w:bottom w:w="0" w:type="dxa"/>
          <w:right w:w="108" w:type="dxa"/>
        </w:tblCellMar>
      </w:tblPr>
      <w:tblGrid>
        <w:gridCol w:w="1543"/>
        <w:gridCol w:w="2960"/>
        <w:gridCol w:w="1417"/>
        <w:gridCol w:w="3260"/>
      </w:tblGrid>
      <w:tr w14:paraId="291CAC73">
        <w:tblPrEx>
          <w:tblCellMar>
            <w:top w:w="0" w:type="dxa"/>
            <w:left w:w="108" w:type="dxa"/>
            <w:bottom w:w="0" w:type="dxa"/>
            <w:right w:w="108" w:type="dxa"/>
          </w:tblCellMar>
        </w:tblPrEx>
        <w:trPr>
          <w:trHeight w:val="359" w:hRule="atLeast"/>
        </w:trPr>
        <w:tc>
          <w:tcPr>
            <w:tcW w:w="1543" w:type="dxa"/>
            <w:vAlign w:val="center"/>
          </w:tcPr>
          <w:p w14:paraId="7AE8EF15">
            <w:pPr>
              <w:spacing w:line="360" w:lineRule="auto"/>
              <w:jc w:val="distribute"/>
              <w:rPr>
                <w:rFonts w:ascii="宋体" w:hAnsi="宋体" w:cs="宋体"/>
                <w:szCs w:val="21"/>
              </w:rPr>
            </w:pPr>
            <w:r>
              <w:rPr>
                <w:rFonts w:hint="eastAsia" w:ascii="宋体" w:hAnsi="宋体" w:cs="宋体"/>
                <w:szCs w:val="21"/>
              </w:rPr>
              <w:t>发包人:</w:t>
            </w:r>
          </w:p>
        </w:tc>
        <w:tc>
          <w:tcPr>
            <w:tcW w:w="2960" w:type="dxa"/>
            <w:vAlign w:val="center"/>
          </w:tcPr>
          <w:p w14:paraId="3DB677A7">
            <w:pPr>
              <w:spacing w:line="360" w:lineRule="auto"/>
              <w:rPr>
                <w:rFonts w:ascii="宋体" w:hAnsi="宋体" w:cs="宋体"/>
                <w:b/>
                <w:szCs w:val="21"/>
                <w:u w:val="single"/>
              </w:rPr>
            </w:pPr>
          </w:p>
        </w:tc>
        <w:tc>
          <w:tcPr>
            <w:tcW w:w="1417" w:type="dxa"/>
            <w:vAlign w:val="center"/>
          </w:tcPr>
          <w:p w14:paraId="6B704E84">
            <w:pPr>
              <w:spacing w:line="360" w:lineRule="auto"/>
              <w:jc w:val="distribute"/>
              <w:rPr>
                <w:rFonts w:ascii="宋体" w:hAnsi="宋体" w:cs="宋体"/>
                <w:szCs w:val="21"/>
              </w:rPr>
            </w:pPr>
            <w:r>
              <w:rPr>
                <w:rFonts w:hint="eastAsia" w:ascii="宋体" w:hAnsi="宋体" w:cs="宋体"/>
                <w:szCs w:val="21"/>
              </w:rPr>
              <w:t>承包人：</w:t>
            </w:r>
          </w:p>
        </w:tc>
        <w:tc>
          <w:tcPr>
            <w:tcW w:w="3260" w:type="dxa"/>
            <w:vAlign w:val="center"/>
          </w:tcPr>
          <w:p w14:paraId="42E9C120">
            <w:pPr>
              <w:spacing w:line="360" w:lineRule="auto"/>
              <w:rPr>
                <w:rFonts w:ascii="宋体" w:hAnsi="宋体" w:cs="宋体"/>
                <w:b/>
                <w:spacing w:val="-4"/>
                <w:szCs w:val="21"/>
                <w:u w:val="single"/>
              </w:rPr>
            </w:pPr>
          </w:p>
        </w:tc>
      </w:tr>
      <w:tr w14:paraId="7C73E4F1">
        <w:tblPrEx>
          <w:tblCellMar>
            <w:top w:w="0" w:type="dxa"/>
            <w:left w:w="108" w:type="dxa"/>
            <w:bottom w:w="0" w:type="dxa"/>
            <w:right w:w="108" w:type="dxa"/>
          </w:tblCellMar>
        </w:tblPrEx>
        <w:trPr>
          <w:trHeight w:val="542" w:hRule="atLeast"/>
        </w:trPr>
        <w:tc>
          <w:tcPr>
            <w:tcW w:w="1543" w:type="dxa"/>
            <w:vAlign w:val="center"/>
          </w:tcPr>
          <w:p w14:paraId="26B82B3B">
            <w:pPr>
              <w:spacing w:line="360" w:lineRule="auto"/>
              <w:rPr>
                <w:rFonts w:ascii="宋体" w:hAnsi="宋体" w:cs="宋体"/>
                <w:szCs w:val="21"/>
              </w:rPr>
            </w:pPr>
          </w:p>
        </w:tc>
        <w:tc>
          <w:tcPr>
            <w:tcW w:w="2960" w:type="dxa"/>
          </w:tcPr>
          <w:p w14:paraId="628D12AB">
            <w:pPr>
              <w:spacing w:line="360" w:lineRule="auto"/>
              <w:rPr>
                <w:rFonts w:ascii="宋体" w:hAnsi="宋体" w:cs="宋体"/>
                <w:szCs w:val="21"/>
              </w:rPr>
            </w:pPr>
            <w:r>
              <w:rPr>
                <w:rFonts w:hint="eastAsia" w:ascii="宋体" w:hAnsi="宋体" w:cs="宋体"/>
                <w:szCs w:val="21"/>
              </w:rPr>
              <w:t>（盖章）</w:t>
            </w:r>
          </w:p>
        </w:tc>
        <w:tc>
          <w:tcPr>
            <w:tcW w:w="1417" w:type="dxa"/>
            <w:vAlign w:val="center"/>
          </w:tcPr>
          <w:p w14:paraId="3266E58F">
            <w:pPr>
              <w:spacing w:line="360" w:lineRule="auto"/>
              <w:rPr>
                <w:rFonts w:ascii="宋体" w:hAnsi="宋体" w:cs="宋体"/>
                <w:szCs w:val="21"/>
              </w:rPr>
            </w:pPr>
          </w:p>
        </w:tc>
        <w:tc>
          <w:tcPr>
            <w:tcW w:w="3260" w:type="dxa"/>
          </w:tcPr>
          <w:p w14:paraId="77B0B416">
            <w:pPr>
              <w:spacing w:line="360" w:lineRule="auto"/>
              <w:rPr>
                <w:rFonts w:ascii="宋体" w:hAnsi="宋体" w:cs="宋体"/>
                <w:szCs w:val="21"/>
              </w:rPr>
            </w:pPr>
            <w:r>
              <w:rPr>
                <w:rFonts w:hint="eastAsia" w:ascii="宋体" w:hAnsi="宋体" w:cs="宋体"/>
                <w:szCs w:val="21"/>
              </w:rPr>
              <w:t>（盖章）</w:t>
            </w:r>
          </w:p>
        </w:tc>
      </w:tr>
      <w:tr w14:paraId="626AD214">
        <w:tblPrEx>
          <w:tblCellMar>
            <w:top w:w="0" w:type="dxa"/>
            <w:left w:w="108" w:type="dxa"/>
            <w:bottom w:w="0" w:type="dxa"/>
            <w:right w:w="108" w:type="dxa"/>
          </w:tblCellMar>
        </w:tblPrEx>
        <w:trPr>
          <w:trHeight w:val="1289" w:hRule="atLeast"/>
        </w:trPr>
        <w:tc>
          <w:tcPr>
            <w:tcW w:w="1543" w:type="dxa"/>
            <w:vAlign w:val="center"/>
          </w:tcPr>
          <w:p w14:paraId="2B14F888">
            <w:pPr>
              <w:spacing w:line="360" w:lineRule="auto"/>
              <w:jc w:val="distribute"/>
              <w:rPr>
                <w:rFonts w:ascii="宋体" w:hAnsi="宋体" w:cs="宋体"/>
                <w:szCs w:val="21"/>
              </w:rPr>
            </w:pPr>
            <w:r>
              <w:rPr>
                <w:rFonts w:hint="eastAsia" w:ascii="宋体" w:hAnsi="宋体" w:cs="宋体"/>
                <w:szCs w:val="21"/>
              </w:rPr>
              <w:t>法定代表人</w:t>
            </w:r>
          </w:p>
          <w:p w14:paraId="3C7786BE">
            <w:pPr>
              <w:spacing w:line="360" w:lineRule="auto"/>
              <w:jc w:val="distribute"/>
              <w:rPr>
                <w:rFonts w:ascii="宋体" w:hAnsi="宋体" w:cs="宋体"/>
                <w:szCs w:val="21"/>
              </w:rPr>
            </w:pPr>
            <w:r>
              <w:rPr>
                <w:rFonts w:hint="eastAsia" w:ascii="宋体" w:hAnsi="宋体" w:cs="宋体"/>
                <w:szCs w:val="21"/>
              </w:rPr>
              <w:t>或</w:t>
            </w:r>
          </w:p>
          <w:p w14:paraId="5B16F8C8">
            <w:pPr>
              <w:spacing w:line="360" w:lineRule="auto"/>
              <w:jc w:val="distribute"/>
              <w:rPr>
                <w:rFonts w:ascii="宋体" w:hAnsi="宋体" w:cs="宋体"/>
                <w:szCs w:val="21"/>
              </w:rPr>
            </w:pPr>
            <w:r>
              <w:rPr>
                <w:rFonts w:hint="eastAsia" w:ascii="宋体" w:hAnsi="宋体" w:cs="宋体"/>
                <w:szCs w:val="21"/>
              </w:rPr>
              <w:t>授权代表：</w:t>
            </w:r>
          </w:p>
        </w:tc>
        <w:tc>
          <w:tcPr>
            <w:tcW w:w="2960" w:type="dxa"/>
            <w:vAlign w:val="bottom"/>
          </w:tcPr>
          <w:p w14:paraId="32068879">
            <w:pPr>
              <w:spacing w:line="360" w:lineRule="auto"/>
              <w:rPr>
                <w:rFonts w:ascii="宋体" w:hAnsi="宋体" w:cs="宋体"/>
                <w:szCs w:val="21"/>
                <w:u w:val="single"/>
              </w:rPr>
            </w:pPr>
          </w:p>
        </w:tc>
        <w:tc>
          <w:tcPr>
            <w:tcW w:w="1417" w:type="dxa"/>
            <w:vAlign w:val="center"/>
          </w:tcPr>
          <w:p w14:paraId="41170D43">
            <w:pPr>
              <w:spacing w:line="360" w:lineRule="auto"/>
              <w:jc w:val="distribute"/>
              <w:rPr>
                <w:rFonts w:ascii="宋体" w:hAnsi="宋体" w:cs="宋体"/>
                <w:szCs w:val="21"/>
              </w:rPr>
            </w:pPr>
            <w:r>
              <w:rPr>
                <w:rFonts w:hint="eastAsia" w:ascii="宋体" w:hAnsi="宋体" w:cs="宋体"/>
                <w:szCs w:val="21"/>
              </w:rPr>
              <w:t>法定代表人</w:t>
            </w:r>
          </w:p>
          <w:p w14:paraId="0FF47CEC">
            <w:pPr>
              <w:spacing w:line="360" w:lineRule="auto"/>
              <w:jc w:val="distribute"/>
              <w:rPr>
                <w:rFonts w:ascii="宋体" w:hAnsi="宋体" w:cs="宋体"/>
                <w:szCs w:val="21"/>
              </w:rPr>
            </w:pPr>
            <w:r>
              <w:rPr>
                <w:rFonts w:hint="eastAsia" w:ascii="宋体" w:hAnsi="宋体" w:cs="宋体"/>
                <w:szCs w:val="21"/>
              </w:rPr>
              <w:t>或</w:t>
            </w:r>
          </w:p>
          <w:p w14:paraId="69AADE0E">
            <w:pPr>
              <w:spacing w:line="360" w:lineRule="auto"/>
              <w:jc w:val="distribute"/>
              <w:rPr>
                <w:rFonts w:ascii="宋体" w:hAnsi="宋体" w:cs="宋体"/>
                <w:szCs w:val="21"/>
              </w:rPr>
            </w:pPr>
            <w:r>
              <w:rPr>
                <w:rFonts w:hint="eastAsia" w:ascii="宋体" w:hAnsi="宋体" w:cs="宋体"/>
                <w:szCs w:val="21"/>
              </w:rPr>
              <w:t>授权代表：</w:t>
            </w:r>
          </w:p>
        </w:tc>
        <w:tc>
          <w:tcPr>
            <w:tcW w:w="3260" w:type="dxa"/>
            <w:vAlign w:val="bottom"/>
          </w:tcPr>
          <w:p w14:paraId="4F55C3A0">
            <w:pPr>
              <w:spacing w:line="360" w:lineRule="auto"/>
              <w:rPr>
                <w:rFonts w:ascii="宋体" w:hAnsi="宋体" w:cs="宋体"/>
                <w:szCs w:val="21"/>
                <w:u w:val="single"/>
              </w:rPr>
            </w:pPr>
          </w:p>
        </w:tc>
      </w:tr>
      <w:tr w14:paraId="65E13D8D">
        <w:tblPrEx>
          <w:tblCellMar>
            <w:top w:w="0" w:type="dxa"/>
            <w:left w:w="108" w:type="dxa"/>
            <w:bottom w:w="0" w:type="dxa"/>
            <w:right w:w="108" w:type="dxa"/>
          </w:tblCellMar>
        </w:tblPrEx>
        <w:tc>
          <w:tcPr>
            <w:tcW w:w="1543" w:type="dxa"/>
            <w:vAlign w:val="center"/>
          </w:tcPr>
          <w:p w14:paraId="7A1DA7C0">
            <w:pPr>
              <w:spacing w:line="360" w:lineRule="auto"/>
              <w:jc w:val="distribute"/>
              <w:rPr>
                <w:rFonts w:ascii="宋体" w:hAnsi="宋体" w:cs="宋体"/>
                <w:szCs w:val="21"/>
              </w:rPr>
            </w:pPr>
          </w:p>
        </w:tc>
        <w:tc>
          <w:tcPr>
            <w:tcW w:w="2960" w:type="dxa"/>
          </w:tcPr>
          <w:p w14:paraId="3A6434A3">
            <w:pPr>
              <w:spacing w:line="360" w:lineRule="auto"/>
              <w:rPr>
                <w:rFonts w:ascii="宋体" w:hAnsi="宋体" w:cs="宋体"/>
                <w:szCs w:val="21"/>
              </w:rPr>
            </w:pPr>
            <w:r>
              <w:rPr>
                <w:rFonts w:hint="eastAsia" w:ascii="宋体" w:hAnsi="宋体" w:cs="宋体"/>
                <w:szCs w:val="21"/>
              </w:rPr>
              <w:t>（签字）</w:t>
            </w:r>
          </w:p>
        </w:tc>
        <w:tc>
          <w:tcPr>
            <w:tcW w:w="1417" w:type="dxa"/>
            <w:vAlign w:val="center"/>
          </w:tcPr>
          <w:p w14:paraId="78DF9F8A">
            <w:pPr>
              <w:spacing w:line="360" w:lineRule="auto"/>
              <w:jc w:val="distribute"/>
              <w:rPr>
                <w:rFonts w:ascii="宋体" w:hAnsi="宋体" w:cs="宋体"/>
                <w:szCs w:val="21"/>
              </w:rPr>
            </w:pPr>
          </w:p>
        </w:tc>
        <w:tc>
          <w:tcPr>
            <w:tcW w:w="3260" w:type="dxa"/>
          </w:tcPr>
          <w:p w14:paraId="06431A01">
            <w:pPr>
              <w:spacing w:line="360" w:lineRule="auto"/>
              <w:rPr>
                <w:rFonts w:ascii="宋体" w:hAnsi="宋体" w:cs="宋体"/>
                <w:szCs w:val="21"/>
              </w:rPr>
            </w:pPr>
            <w:r>
              <w:rPr>
                <w:rFonts w:hint="eastAsia" w:ascii="宋体" w:hAnsi="宋体" w:cs="宋体"/>
                <w:szCs w:val="21"/>
              </w:rPr>
              <w:t>（签字）</w:t>
            </w:r>
          </w:p>
        </w:tc>
      </w:tr>
    </w:tbl>
    <w:p w14:paraId="44760975">
      <w:pPr>
        <w:spacing w:line="360" w:lineRule="auto"/>
        <w:rPr>
          <w:rFonts w:ascii="宋体" w:hAnsi="宋体" w:cs="宋体"/>
          <w:szCs w:val="21"/>
        </w:rPr>
      </w:pPr>
    </w:p>
    <w:p w14:paraId="08761F1A">
      <w:pPr>
        <w:spacing w:line="360" w:lineRule="auto"/>
        <w:rPr>
          <w:rFonts w:ascii="宋体" w:hAnsi="宋体" w:cs="宋体"/>
          <w:szCs w:val="21"/>
        </w:rPr>
      </w:pPr>
      <w:r>
        <w:rPr>
          <w:rFonts w:hint="eastAsia" w:ascii="宋体" w:hAnsi="宋体" w:cs="宋体"/>
          <w:szCs w:val="21"/>
        </w:rPr>
        <w:t>签订日期：     年     月    日</w:t>
      </w:r>
    </w:p>
    <w:p w14:paraId="7DC72D26">
      <w:pPr>
        <w:widowControl/>
        <w:adjustRightInd w:val="0"/>
        <w:snapToGrid w:val="0"/>
        <w:spacing w:line="360" w:lineRule="auto"/>
        <w:jc w:val="left"/>
        <w:rPr>
          <w:rFonts w:ascii="宋体" w:hAnsi="宋体" w:cs="宋体"/>
          <w:kern w:val="0"/>
          <w:szCs w:val="21"/>
        </w:rPr>
      </w:pPr>
    </w:p>
    <w:p w14:paraId="4122BBB4">
      <w:pPr>
        <w:spacing w:line="360" w:lineRule="auto"/>
        <w:rPr>
          <w:rFonts w:ascii="宋体" w:hAnsi="宋体" w:cs="宋体"/>
          <w:b/>
          <w:bCs/>
          <w:kern w:val="0"/>
          <w:sz w:val="32"/>
          <w:szCs w:val="32"/>
        </w:rPr>
      </w:pPr>
      <w:r>
        <w:rPr>
          <w:rFonts w:hint="eastAsia" w:ascii="宋体" w:hAnsi="宋体" w:cs="宋体"/>
          <w:kern w:val="0"/>
          <w:szCs w:val="21"/>
        </w:rPr>
        <w:br w:type="page"/>
      </w:r>
    </w:p>
    <w:p w14:paraId="2ADCD379">
      <w:pPr>
        <w:widowControl/>
        <w:spacing w:line="360" w:lineRule="auto"/>
        <w:rPr>
          <w:rFonts w:ascii="宋体" w:hAnsi="宋体" w:cs="宋体"/>
          <w:b/>
          <w:bCs/>
          <w:kern w:val="0"/>
          <w:sz w:val="32"/>
          <w:szCs w:val="32"/>
        </w:rPr>
      </w:pPr>
      <w:r>
        <w:rPr>
          <w:rFonts w:hint="eastAsia" w:ascii="宋体" w:hAnsi="宋体" w:cs="宋体"/>
          <w:b/>
          <w:bCs/>
          <w:kern w:val="0"/>
          <w:sz w:val="32"/>
          <w:szCs w:val="32"/>
        </w:rPr>
        <w:fldChar w:fldCharType="begin"/>
      </w:r>
      <w:r>
        <w:rPr>
          <w:rFonts w:hint="eastAsia" w:ascii="宋体" w:hAnsi="宋体" w:cs="宋体"/>
          <w:b/>
          <w:bCs/>
          <w:kern w:val="0"/>
          <w:sz w:val="32"/>
          <w:szCs w:val="32"/>
        </w:rPr>
        <w:instrText xml:space="preserve">AUTOTEXT  协议书 \* MERGEFORMAT</w:instrText>
      </w:r>
      <w:r>
        <w:rPr>
          <w:rFonts w:hint="eastAsia" w:ascii="宋体" w:hAnsi="宋体" w:cs="宋体"/>
          <w:b/>
          <w:bCs/>
          <w:kern w:val="0"/>
          <w:sz w:val="32"/>
          <w:szCs w:val="32"/>
        </w:rPr>
        <w:fldChar w:fldCharType="end"/>
      </w:r>
      <w:r>
        <w:rPr>
          <w:rFonts w:hint="eastAsia" w:ascii="宋体" w:hAnsi="宋体" w:cs="宋体"/>
          <w:b/>
          <w:bCs/>
          <w:kern w:val="0"/>
          <w:sz w:val="32"/>
          <w:szCs w:val="32"/>
        </w:rPr>
        <w:t>附件2：</w:t>
      </w:r>
    </w:p>
    <w:p w14:paraId="0501F5AE">
      <w:pPr>
        <w:widowControl/>
        <w:spacing w:line="360" w:lineRule="auto"/>
        <w:jc w:val="center"/>
        <w:rPr>
          <w:rFonts w:ascii="宋体" w:hAnsi="宋体" w:cs="宋体"/>
          <w:b/>
          <w:bCs/>
          <w:kern w:val="0"/>
          <w:sz w:val="32"/>
          <w:szCs w:val="32"/>
        </w:rPr>
      </w:pPr>
      <w:r>
        <w:rPr>
          <w:rFonts w:hint="eastAsia" w:ascii="宋体" w:hAnsi="宋体" w:cs="宋体"/>
          <w:b/>
          <w:bCs/>
          <w:kern w:val="0"/>
          <w:sz w:val="32"/>
          <w:szCs w:val="32"/>
        </w:rPr>
        <w:t>工程质量保修书</w:t>
      </w:r>
    </w:p>
    <w:p w14:paraId="456A305D">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发包人（全称）：</w:t>
      </w:r>
      <w:r>
        <w:rPr>
          <w:rFonts w:hint="eastAsia" w:ascii="宋体" w:hAnsi="宋体" w:cs="宋体"/>
          <w:kern w:val="0"/>
          <w:szCs w:val="21"/>
          <w:u w:val="single"/>
        </w:rPr>
        <w:t>中华人民共和国皇岗海关</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AUTOTEXT  input272 \* MERGEFORMAT </w:instrText>
      </w:r>
      <w:r>
        <w:rPr>
          <w:rFonts w:hint="eastAsia" w:ascii="宋体" w:hAnsi="宋体" w:cs="宋体"/>
          <w:kern w:val="0"/>
          <w:szCs w:val="21"/>
          <w:u w:val="single"/>
        </w:rPr>
        <w:fldChar w:fldCharType="end"/>
      </w:r>
    </w:p>
    <w:p w14:paraId="14CAA61C">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承包人（全称）：</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AUTOTEXT  input273 \* MERGEFORMAT </w:instrText>
      </w:r>
      <w:r>
        <w:rPr>
          <w:rFonts w:hint="eastAsia" w:ascii="宋体" w:hAnsi="宋体" w:cs="宋体"/>
          <w:kern w:val="0"/>
          <w:szCs w:val="21"/>
          <w:u w:val="single"/>
        </w:rPr>
        <w:fldChar w:fldCharType="end"/>
      </w:r>
    </w:p>
    <w:p w14:paraId="0B3135A0">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为保证 皇岗生活区公有住房修缮项目</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AUTOTEXT  input274 \* MERGEFORMAT </w:instrText>
      </w:r>
      <w:r>
        <w:rPr>
          <w:rFonts w:hint="eastAsia" w:ascii="宋体" w:hAnsi="宋体" w:cs="宋体"/>
          <w:kern w:val="0"/>
          <w:szCs w:val="21"/>
          <w:u w:val="single"/>
        </w:rPr>
        <w:fldChar w:fldCharType="end"/>
      </w:r>
      <w:r>
        <w:rPr>
          <w:rFonts w:hint="eastAsia" w:ascii="宋体" w:hAnsi="宋体" w:cs="宋体"/>
          <w:kern w:val="0"/>
          <w:szCs w:val="21"/>
        </w:rPr>
        <w:t>（工程名称）在合理使用期限内正常使用，发包人和承包人根据《中华人民共和国建筑法（2011修正）》、《建设工程质量管理条例》、《深圳特区建设工程质量管理条例》，经协商一致，签订工程质量保修书。承包人在质量保修期内按照有关规定及双方约定承担工程质量保修责任。</w:t>
      </w:r>
    </w:p>
    <w:p w14:paraId="583BE0F7">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一、工程质量保修范围</w:t>
      </w:r>
    </w:p>
    <w:p w14:paraId="0B5A596C">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质量保修范围包括地基基础工程、主体结构工程、屋面防水工程、有防水要求的卫生间/房间和外墙面的防渗漏工程、电气管线工程、给排水管道工程、设备安装工程、供热和供冷系统工程、装饰装修工程以及双方约定的其他项目。</w:t>
      </w:r>
    </w:p>
    <w:p w14:paraId="59DFF3C7">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具体质量保修范围，双方约定如下：</w:t>
      </w:r>
    </w:p>
    <w:p w14:paraId="6BBBEF4B">
      <w:pPr>
        <w:widowControl/>
        <w:adjustRightInd w:val="0"/>
        <w:snapToGri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合同价款（包括补充合同价款）所包含的工程项目，设计变更，现场签证和书面文字约定，发包人承包人双方或多方会议约定的全部内容。</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AUTOTEXT  input275 \* MERGEFORMAT </w:instrText>
      </w:r>
      <w:r>
        <w:rPr>
          <w:rFonts w:hint="eastAsia" w:ascii="宋体" w:hAnsi="宋体" w:cs="宋体"/>
          <w:kern w:val="0"/>
          <w:szCs w:val="21"/>
          <w:u w:val="single"/>
        </w:rPr>
        <w:fldChar w:fldCharType="end"/>
      </w:r>
    </w:p>
    <w:p w14:paraId="0224B914">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二、工程质量保修期</w:t>
      </w:r>
    </w:p>
    <w:p w14:paraId="2F81780A">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质量保修期从工程实际竣工之日算起。单项竣工验收的工程，按单项工程分别计算质量保修期。</w:t>
      </w:r>
    </w:p>
    <w:p w14:paraId="3160D2DB">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双方约定本工程质量保修期如下：</w:t>
      </w:r>
    </w:p>
    <w:p w14:paraId="2E707DBC">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sym w:font="Wingdings 2" w:char="0052"/>
      </w:r>
      <w:r>
        <w:rPr>
          <w:rFonts w:hint="eastAsia" w:ascii="宋体" w:hAnsi="宋体" w:cs="宋体"/>
          <w:kern w:val="0"/>
          <w:szCs w:val="21"/>
        </w:rPr>
        <w:fldChar w:fldCharType="begin"/>
      </w:r>
      <w:r>
        <w:rPr>
          <w:rFonts w:hint="eastAsia" w:ascii="宋体" w:hAnsi="宋体" w:cs="宋体"/>
          <w:kern w:val="0"/>
          <w:szCs w:val="21"/>
        </w:rPr>
        <w:instrText xml:space="preserve"> AUTOTEXT  input276 \* MERGEFORMAT </w:instrText>
      </w:r>
      <w:r>
        <w:rPr>
          <w:rFonts w:hint="eastAsia" w:ascii="宋体" w:hAnsi="宋体" w:cs="宋体"/>
          <w:kern w:val="0"/>
          <w:szCs w:val="21"/>
        </w:rPr>
        <w:fldChar w:fldCharType="end"/>
      </w:r>
      <w:r>
        <w:rPr>
          <w:rFonts w:hint="eastAsia" w:ascii="宋体" w:hAnsi="宋体" w:cs="宋体"/>
          <w:kern w:val="0"/>
          <w:szCs w:val="21"/>
        </w:rPr>
        <w:t>地基基础工程、主体结构工程为设计文件规定的合理使用年限；</w:t>
      </w:r>
    </w:p>
    <w:p w14:paraId="6FEE0D6F">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rPr>
        <w:fldChar w:fldCharType="begin"/>
      </w:r>
      <w:r>
        <w:rPr>
          <w:rFonts w:hint="eastAsia" w:ascii="宋体" w:hAnsi="宋体" w:cs="宋体"/>
          <w:kern w:val="0"/>
          <w:szCs w:val="21"/>
        </w:rPr>
        <w:instrText xml:space="preserve"> AUTOTEXT  input277 \* MERGEFORMAT </w:instrText>
      </w:r>
      <w:r>
        <w:rPr>
          <w:rFonts w:hint="eastAsia" w:ascii="宋体" w:hAnsi="宋体" w:cs="宋体"/>
          <w:kern w:val="0"/>
          <w:szCs w:val="21"/>
        </w:rPr>
        <w:fldChar w:fldCharType="end"/>
      </w:r>
      <w:r>
        <w:rPr>
          <w:rFonts w:hint="eastAsia" w:ascii="宋体" w:hAnsi="宋体" w:cs="宋体"/>
          <w:kern w:val="0"/>
          <w:szCs w:val="21"/>
        </w:rPr>
        <w:t>屋面防水工程、有防水要求的卫生间/房间和外墙面的防渗漏工程为</w:t>
      </w:r>
      <w:r>
        <w:rPr>
          <w:rFonts w:hint="eastAsia" w:ascii="宋体" w:hAnsi="宋体" w:cs="宋体"/>
          <w:kern w:val="0"/>
          <w:szCs w:val="21"/>
          <w:u w:val="single"/>
        </w:rPr>
        <w:t>5</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AUTOTEXT  input278 \* MERGEFORMAT </w:instrText>
      </w:r>
      <w:r>
        <w:rPr>
          <w:rFonts w:hint="eastAsia" w:ascii="宋体" w:hAnsi="宋体" w:cs="宋体"/>
          <w:kern w:val="0"/>
          <w:szCs w:val="21"/>
          <w:u w:val="single"/>
        </w:rPr>
        <w:fldChar w:fldCharType="end"/>
      </w:r>
      <w:r>
        <w:rPr>
          <w:rFonts w:hint="eastAsia" w:ascii="宋体" w:hAnsi="宋体" w:cs="宋体"/>
          <w:kern w:val="0"/>
          <w:szCs w:val="21"/>
        </w:rPr>
        <w:t>年（最低为5年）；</w:t>
      </w:r>
    </w:p>
    <w:p w14:paraId="308D060F">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rPr>
        <w:fldChar w:fldCharType="begin"/>
      </w:r>
      <w:r>
        <w:rPr>
          <w:rFonts w:hint="eastAsia" w:ascii="宋体" w:hAnsi="宋体" w:cs="宋体"/>
          <w:kern w:val="0"/>
          <w:szCs w:val="21"/>
        </w:rPr>
        <w:instrText xml:space="preserve"> AUTOTEXT  input279 \* MERGEFORMAT </w:instrText>
      </w:r>
      <w:r>
        <w:rPr>
          <w:rFonts w:hint="eastAsia" w:ascii="宋体" w:hAnsi="宋体" w:cs="宋体"/>
          <w:kern w:val="0"/>
          <w:szCs w:val="21"/>
        </w:rPr>
        <w:fldChar w:fldCharType="end"/>
      </w:r>
      <w:r>
        <w:rPr>
          <w:rFonts w:hint="eastAsia" w:ascii="宋体" w:hAnsi="宋体" w:cs="宋体"/>
          <w:kern w:val="0"/>
          <w:szCs w:val="21"/>
        </w:rPr>
        <w:t>电气管线工程、给排水管道工程、设备安装工程为</w:t>
      </w:r>
      <w:r>
        <w:rPr>
          <w:rFonts w:hint="eastAsia" w:ascii="宋体" w:hAnsi="宋体" w:cs="宋体"/>
          <w:kern w:val="0"/>
          <w:szCs w:val="21"/>
          <w:u w:val="single"/>
        </w:rPr>
        <w:t>2</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AUTOTEXT  input280 \* MERGEFORMAT </w:instrText>
      </w:r>
      <w:r>
        <w:rPr>
          <w:rFonts w:hint="eastAsia" w:ascii="宋体" w:hAnsi="宋体" w:cs="宋体"/>
          <w:kern w:val="0"/>
          <w:szCs w:val="21"/>
          <w:u w:val="single"/>
        </w:rPr>
        <w:fldChar w:fldCharType="end"/>
      </w:r>
      <w:r>
        <w:rPr>
          <w:rFonts w:hint="eastAsia" w:ascii="宋体" w:hAnsi="宋体" w:cs="宋体"/>
          <w:kern w:val="0"/>
          <w:szCs w:val="21"/>
        </w:rPr>
        <w:t>年（最低为2年）；</w:t>
      </w:r>
    </w:p>
    <w:p w14:paraId="1437CBAC">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rPr>
        <w:fldChar w:fldCharType="begin"/>
      </w:r>
      <w:r>
        <w:rPr>
          <w:rFonts w:hint="eastAsia" w:ascii="宋体" w:hAnsi="宋体" w:cs="宋体"/>
          <w:kern w:val="0"/>
          <w:szCs w:val="21"/>
        </w:rPr>
        <w:instrText xml:space="preserve"> AUTOTEXT  input281 \* MERGEFORMAT </w:instrText>
      </w:r>
      <w:r>
        <w:rPr>
          <w:rFonts w:hint="eastAsia" w:ascii="宋体" w:hAnsi="宋体" w:cs="宋体"/>
          <w:kern w:val="0"/>
          <w:szCs w:val="21"/>
        </w:rPr>
        <w:fldChar w:fldCharType="end"/>
      </w:r>
      <w:r>
        <w:rPr>
          <w:rFonts w:hint="eastAsia" w:ascii="宋体" w:hAnsi="宋体" w:cs="宋体"/>
          <w:kern w:val="0"/>
          <w:szCs w:val="21"/>
        </w:rPr>
        <w:t>供热和供冷系统工程为</w:t>
      </w:r>
      <w:r>
        <w:rPr>
          <w:rFonts w:hint="eastAsia" w:ascii="宋体" w:hAnsi="宋体" w:cs="宋体"/>
          <w:kern w:val="0"/>
          <w:szCs w:val="21"/>
          <w:u w:val="single"/>
        </w:rPr>
        <w:t>2</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AUTOTEXT  input282 \* MERGEFORMAT </w:instrText>
      </w:r>
      <w:r>
        <w:rPr>
          <w:rFonts w:hint="eastAsia" w:ascii="宋体" w:hAnsi="宋体" w:cs="宋体"/>
          <w:kern w:val="0"/>
          <w:szCs w:val="21"/>
          <w:u w:val="single"/>
        </w:rPr>
        <w:fldChar w:fldCharType="end"/>
      </w:r>
      <w:r>
        <w:rPr>
          <w:rFonts w:hint="eastAsia" w:ascii="宋体" w:hAnsi="宋体" w:cs="宋体"/>
          <w:kern w:val="0"/>
          <w:szCs w:val="21"/>
        </w:rPr>
        <w:t>个（最低为2个）采暖期、供冷期；</w:t>
      </w:r>
    </w:p>
    <w:p w14:paraId="4F5917F6">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rPr>
        <w:fldChar w:fldCharType="begin"/>
      </w:r>
      <w:r>
        <w:rPr>
          <w:rFonts w:hint="eastAsia" w:ascii="宋体" w:hAnsi="宋体" w:cs="宋体"/>
          <w:kern w:val="0"/>
          <w:szCs w:val="21"/>
        </w:rPr>
        <w:instrText xml:space="preserve"> AUTOTEXT  input283 \* MERGEFORMAT </w:instrText>
      </w:r>
      <w:r>
        <w:rPr>
          <w:rFonts w:hint="eastAsia" w:ascii="宋体" w:hAnsi="宋体" w:cs="宋体"/>
          <w:kern w:val="0"/>
          <w:szCs w:val="21"/>
        </w:rPr>
        <w:fldChar w:fldCharType="end"/>
      </w:r>
      <w:r>
        <w:rPr>
          <w:rFonts w:hint="eastAsia" w:ascii="宋体" w:hAnsi="宋体" w:cs="宋体"/>
          <w:kern w:val="0"/>
          <w:szCs w:val="21"/>
        </w:rPr>
        <w:t>装饰装修工程为</w:t>
      </w:r>
      <w:r>
        <w:rPr>
          <w:rFonts w:hint="eastAsia" w:ascii="宋体" w:hAnsi="宋体" w:cs="宋体"/>
          <w:kern w:val="0"/>
          <w:szCs w:val="21"/>
          <w:u w:val="single"/>
        </w:rPr>
        <w:t>1</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AUTOTEXT  input284 \* MERGEFORMAT </w:instrText>
      </w:r>
      <w:r>
        <w:rPr>
          <w:rFonts w:hint="eastAsia" w:ascii="宋体" w:hAnsi="宋体" w:cs="宋体"/>
          <w:kern w:val="0"/>
          <w:szCs w:val="21"/>
          <w:u w:val="single"/>
        </w:rPr>
        <w:fldChar w:fldCharType="end"/>
      </w:r>
      <w:r>
        <w:rPr>
          <w:rFonts w:hint="eastAsia" w:ascii="宋体" w:hAnsi="宋体" w:cs="宋体"/>
          <w:kern w:val="0"/>
          <w:szCs w:val="21"/>
        </w:rPr>
        <w:t>年；</w:t>
      </w:r>
    </w:p>
    <w:p w14:paraId="04271C14">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rPr>
        <w:fldChar w:fldCharType="begin"/>
      </w:r>
      <w:r>
        <w:rPr>
          <w:rFonts w:hint="eastAsia" w:ascii="宋体" w:hAnsi="宋体" w:cs="宋体"/>
          <w:kern w:val="0"/>
          <w:szCs w:val="21"/>
        </w:rPr>
        <w:instrText xml:space="preserve"> AUTOTEXT  input285 \* MERGEFORMAT </w:instrText>
      </w:r>
      <w:r>
        <w:rPr>
          <w:rFonts w:hint="eastAsia" w:ascii="宋体" w:hAnsi="宋体" w:cs="宋体"/>
          <w:kern w:val="0"/>
          <w:szCs w:val="21"/>
        </w:rPr>
        <w:fldChar w:fldCharType="end"/>
      </w:r>
      <w:r>
        <w:rPr>
          <w:rFonts w:hint="eastAsia" w:ascii="宋体" w:hAnsi="宋体" w:cs="宋体"/>
          <w:kern w:val="0"/>
          <w:szCs w:val="21"/>
        </w:rPr>
        <w:t>其他项目保修期约定：</w:t>
      </w:r>
    </w:p>
    <w:p w14:paraId="794729CF">
      <w:pPr>
        <w:widowControl/>
        <w:adjustRightInd w:val="0"/>
        <w:snapToGri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AUTOTEXT  input286 \* MERGEFORMAT </w:instrText>
      </w:r>
      <w:r>
        <w:rPr>
          <w:rFonts w:hint="eastAsia" w:ascii="宋体" w:hAnsi="宋体" w:cs="宋体"/>
          <w:kern w:val="0"/>
          <w:szCs w:val="21"/>
          <w:u w:val="single"/>
        </w:rPr>
        <w:fldChar w:fldCharType="end"/>
      </w:r>
    </w:p>
    <w:p w14:paraId="7799CD32">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三、工程质量保修责任</w:t>
      </w:r>
    </w:p>
    <w:p w14:paraId="75165120">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1.属于保修范围内的项目，在保修期内，承包人应在接到保修通知之日后７天内派人修理。承包人不在约定期限内派人修理，发包人可委托其他人员修理。</w:t>
      </w:r>
    </w:p>
    <w:p w14:paraId="63ACE013">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2.发生紧急抢修事故的，承包人接到事故通知后，应立即到达事故现场抢修。</w:t>
      </w:r>
    </w:p>
    <w:p w14:paraId="6F41AC9E">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四、工程质量保修费用</w:t>
      </w:r>
    </w:p>
    <w:p w14:paraId="613A9B13">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工程质量保修费用及相关的损害赔偿责任由造成质量缺陷的责任方承担。</w:t>
      </w:r>
    </w:p>
    <w:p w14:paraId="478F6961">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五、工程质量保证方式</w:t>
      </w:r>
    </w:p>
    <w:p w14:paraId="0E7F8263">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工程质量保证方式可采用以下方式：</w:t>
      </w:r>
    </w:p>
    <w:p w14:paraId="0C1A0AE7">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rPr>
        <w:fldChar w:fldCharType="begin"/>
      </w:r>
      <w:r>
        <w:rPr>
          <w:rFonts w:hint="eastAsia" w:ascii="宋体" w:hAnsi="宋体" w:cs="宋体"/>
          <w:kern w:val="0"/>
          <w:szCs w:val="21"/>
        </w:rPr>
        <w:instrText xml:space="preserve"> AUTOTEXT  input287 \* MERGEFORMAT </w:instrText>
      </w:r>
      <w:r>
        <w:rPr>
          <w:rFonts w:hint="eastAsia" w:ascii="宋体" w:hAnsi="宋体" w:cs="宋体"/>
          <w:kern w:val="0"/>
          <w:szCs w:val="21"/>
        </w:rPr>
        <w:fldChar w:fldCharType="end"/>
      </w:r>
      <w:r>
        <w:rPr>
          <w:rFonts w:hint="eastAsia" w:ascii="宋体" w:hAnsi="宋体" w:cs="宋体"/>
          <w:kern w:val="0"/>
          <w:szCs w:val="21"/>
        </w:rPr>
        <w:t>质量保证金：</w:t>
      </w:r>
    </w:p>
    <w:p w14:paraId="01101302">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质量保证金一般不超过签约合同价的3％，发包人承包人约定本工程的质量保证金为签约合同价的</w:t>
      </w:r>
      <w:r>
        <w:rPr>
          <w:rFonts w:hint="eastAsia" w:ascii="宋体" w:hAnsi="宋体" w:cs="宋体"/>
          <w:kern w:val="0"/>
          <w:szCs w:val="21"/>
          <w:u w:val="single"/>
        </w:rPr>
        <w:t>3</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AUTOTEXT  input288 \* MERGEFORMAT </w:instrText>
      </w:r>
      <w:r>
        <w:rPr>
          <w:rFonts w:hint="eastAsia" w:ascii="宋体" w:hAnsi="宋体" w:cs="宋体"/>
          <w:kern w:val="0"/>
          <w:szCs w:val="21"/>
          <w:u w:val="single"/>
        </w:rPr>
        <w:fldChar w:fldCharType="end"/>
      </w:r>
      <w:r>
        <w:rPr>
          <w:rFonts w:hint="eastAsia" w:ascii="宋体" w:hAnsi="宋体" w:cs="宋体"/>
          <w:kern w:val="0"/>
          <w:szCs w:val="21"/>
        </w:rPr>
        <w:t>％，具体为：</w:t>
      </w:r>
    </w:p>
    <w:p w14:paraId="1EF88C62">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币种：</w:t>
      </w:r>
      <w:r>
        <w:rPr>
          <w:rFonts w:hint="eastAsia" w:ascii="宋体" w:hAnsi="宋体" w:cs="宋体"/>
          <w:kern w:val="0"/>
          <w:szCs w:val="21"/>
          <w:u w:val="single"/>
        </w:rPr>
        <w:t>人民币</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AUTOTEXT  input289 \* MERGEFORMAT </w:instrText>
      </w:r>
      <w:r>
        <w:rPr>
          <w:rFonts w:hint="eastAsia" w:ascii="宋体" w:hAnsi="宋体" w:cs="宋体"/>
          <w:kern w:val="0"/>
          <w:szCs w:val="21"/>
          <w:u w:val="single"/>
        </w:rPr>
        <w:fldChar w:fldCharType="end"/>
      </w:r>
    </w:p>
    <w:p w14:paraId="262AA1C2">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金额（大写）：</w:t>
      </w:r>
      <w:r>
        <w:rPr>
          <w:rFonts w:hint="eastAsia" w:ascii="宋体" w:hAnsi="宋体" w:cs="宋体"/>
          <w:kern w:val="0"/>
          <w:szCs w:val="21"/>
          <w:u w:val="single"/>
        </w:rPr>
        <w:t>/</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AUTOTEXT  input290 \* MERGEFORMAT </w:instrText>
      </w:r>
      <w:r>
        <w:rPr>
          <w:rFonts w:hint="eastAsia" w:ascii="宋体" w:hAnsi="宋体" w:cs="宋体"/>
          <w:kern w:val="0"/>
          <w:szCs w:val="21"/>
          <w:u w:val="single"/>
        </w:rPr>
        <w:fldChar w:fldCharType="end"/>
      </w:r>
      <w:r>
        <w:rPr>
          <w:rFonts w:hint="eastAsia" w:ascii="宋体" w:hAnsi="宋体" w:cs="宋体"/>
          <w:kern w:val="0"/>
          <w:szCs w:val="21"/>
        </w:rPr>
        <w:t>元</w:t>
      </w:r>
    </w:p>
    <w:p w14:paraId="67799ACA">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（小写）：</w:t>
      </w:r>
      <w:r>
        <w:rPr>
          <w:rFonts w:hint="eastAsia" w:ascii="宋体" w:hAnsi="宋体" w:cs="宋体"/>
          <w:kern w:val="0"/>
          <w:szCs w:val="21"/>
          <w:u w:val="single"/>
        </w:rPr>
        <w:t>/</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AUTOTEXT  input291 \* MERGEFORMAT </w:instrText>
      </w:r>
      <w:r>
        <w:rPr>
          <w:rFonts w:hint="eastAsia" w:ascii="宋体" w:hAnsi="宋体" w:cs="宋体"/>
          <w:kern w:val="0"/>
          <w:szCs w:val="21"/>
          <w:u w:val="single"/>
        </w:rPr>
        <w:fldChar w:fldCharType="end"/>
      </w:r>
      <w:r>
        <w:rPr>
          <w:rFonts w:hint="eastAsia" w:ascii="宋体" w:hAnsi="宋体" w:cs="宋体"/>
          <w:kern w:val="0"/>
          <w:szCs w:val="21"/>
        </w:rPr>
        <w:t>元</w:t>
      </w:r>
    </w:p>
    <w:p w14:paraId="179DE281">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质量保证金银行利率为：</w:t>
      </w:r>
      <w:r>
        <w:rPr>
          <w:rFonts w:hint="eastAsia" w:ascii="宋体" w:hAnsi="宋体" w:cs="宋体"/>
          <w:kern w:val="0"/>
          <w:szCs w:val="21"/>
          <w:u w:val="single"/>
        </w:rPr>
        <w:t>不计利率</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AUTOTEXT  input292 \* MERGEFORMAT </w:instrText>
      </w:r>
      <w:r>
        <w:rPr>
          <w:rFonts w:hint="eastAsia" w:ascii="宋体" w:hAnsi="宋体" w:cs="宋体"/>
          <w:kern w:val="0"/>
          <w:szCs w:val="21"/>
          <w:u w:val="single"/>
        </w:rPr>
        <w:fldChar w:fldCharType="end"/>
      </w:r>
    </w:p>
    <w:p w14:paraId="20D3DCC0">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rPr>
        <w:fldChar w:fldCharType="begin"/>
      </w:r>
      <w:r>
        <w:rPr>
          <w:rFonts w:hint="eastAsia" w:ascii="宋体" w:hAnsi="宋体" w:cs="宋体"/>
          <w:kern w:val="0"/>
          <w:szCs w:val="21"/>
        </w:rPr>
        <w:instrText xml:space="preserve"> AUTOTEXT  input293 \* MERGEFORMAT </w:instrText>
      </w:r>
      <w:r>
        <w:rPr>
          <w:rFonts w:hint="eastAsia" w:ascii="宋体" w:hAnsi="宋体" w:cs="宋体"/>
          <w:kern w:val="0"/>
          <w:szCs w:val="21"/>
        </w:rPr>
        <w:fldChar w:fldCharType="end"/>
      </w:r>
      <w:r>
        <w:rPr>
          <w:rFonts w:hint="eastAsia" w:ascii="宋体" w:hAnsi="宋体" w:cs="宋体"/>
          <w:kern w:val="0"/>
          <w:szCs w:val="21"/>
        </w:rPr>
        <w:t>工程质量保证担保：</w:t>
      </w:r>
    </w:p>
    <w:p w14:paraId="737A9D2C">
      <w:pPr>
        <w:widowControl/>
        <w:adjustRightInd w:val="0"/>
        <w:snapToGri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AUTOTEXT  input294 \* MERGEFORMAT </w:instrText>
      </w:r>
      <w:r>
        <w:rPr>
          <w:rFonts w:hint="eastAsia" w:ascii="宋体" w:hAnsi="宋体" w:cs="宋体"/>
          <w:kern w:val="0"/>
          <w:szCs w:val="21"/>
          <w:u w:val="single"/>
        </w:rPr>
        <w:fldChar w:fldCharType="end"/>
      </w:r>
    </w:p>
    <w:p w14:paraId="62F1C109">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w:t>
      </w:r>
      <w:r>
        <w:rPr>
          <w:rFonts w:hint="eastAsia" w:ascii="宋体" w:hAnsi="宋体" w:cs="宋体"/>
          <w:kern w:val="0"/>
          <w:szCs w:val="21"/>
        </w:rPr>
        <w:fldChar w:fldCharType="begin"/>
      </w:r>
      <w:r>
        <w:rPr>
          <w:rFonts w:hint="eastAsia" w:ascii="宋体" w:hAnsi="宋体" w:cs="宋体"/>
          <w:kern w:val="0"/>
          <w:szCs w:val="21"/>
        </w:rPr>
        <w:instrText xml:space="preserve"> AUTOTEXT  input295 \* MERGEFORMAT </w:instrText>
      </w:r>
      <w:r>
        <w:rPr>
          <w:rFonts w:hint="eastAsia" w:ascii="宋体" w:hAnsi="宋体" w:cs="宋体"/>
          <w:kern w:val="0"/>
          <w:szCs w:val="21"/>
        </w:rPr>
        <w:fldChar w:fldCharType="end"/>
      </w:r>
      <w:r>
        <w:rPr>
          <w:rFonts w:hint="eastAsia" w:ascii="宋体" w:hAnsi="宋体" w:cs="宋体"/>
          <w:kern w:val="0"/>
          <w:szCs w:val="21"/>
        </w:rPr>
        <w:t>工程质量保险：</w:t>
      </w:r>
    </w:p>
    <w:p w14:paraId="531C16B1">
      <w:pPr>
        <w:widowControl/>
        <w:adjustRightInd w:val="0"/>
        <w:snapToGri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u w:val="single"/>
        </w:rPr>
        <w:t>/</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AUTOTEXT  input296 \* MERGEFORMAT </w:instrText>
      </w:r>
      <w:r>
        <w:rPr>
          <w:rFonts w:hint="eastAsia" w:ascii="宋体" w:hAnsi="宋体" w:cs="宋体"/>
          <w:kern w:val="0"/>
          <w:szCs w:val="21"/>
          <w:u w:val="single"/>
        </w:rPr>
        <w:fldChar w:fldCharType="end"/>
      </w:r>
    </w:p>
    <w:p w14:paraId="0FC1D9DA">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六、质量保证金的支付</w:t>
      </w:r>
    </w:p>
    <w:p w14:paraId="4F970747">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采用质量保证金方式时，发包人在工程竣工验收合格满二年后第14天内，将剩余质量保证金和利息支付给承包人，但并不免除承包人在保修期内的保修责任。</w:t>
      </w:r>
    </w:p>
    <w:p w14:paraId="2EEECC69">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如发包人不在约定时限内足额向承包人支付剩余质量保证金和利息的，发包人应从约定应付之日起按同期银行贷款利率向承包人支付拖欠款额的贷款利息，并按每延期一天向承包人赔偿拖欠款额的千分之一的标准承担违约责任。</w:t>
      </w:r>
    </w:p>
    <w:p w14:paraId="001F3E6A">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七、其他</w:t>
      </w:r>
    </w:p>
    <w:p w14:paraId="68EAB6F4">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发包人承包人约定的其他工程质量保修事项：</w:t>
      </w:r>
    </w:p>
    <w:p w14:paraId="7F4B64C2">
      <w:pPr>
        <w:widowControl/>
        <w:adjustRightInd w:val="0"/>
        <w:snapToGrid w:val="0"/>
        <w:spacing w:line="360" w:lineRule="auto"/>
        <w:ind w:firstLine="420" w:firstLineChars="200"/>
        <w:jc w:val="left"/>
        <w:rPr>
          <w:rFonts w:ascii="宋体" w:hAnsi="宋体" w:cs="宋体"/>
          <w:kern w:val="0"/>
          <w:szCs w:val="21"/>
          <w:u w:val="single"/>
        </w:rPr>
      </w:pPr>
      <w:r>
        <w:rPr>
          <w:rFonts w:hint="eastAsia" w:ascii="宋体" w:hAnsi="宋体" w:cs="宋体"/>
          <w:kern w:val="0"/>
          <w:szCs w:val="21"/>
        </w:rPr>
        <w:t>有规定按规定，无规定双方协商解决。</w:t>
      </w:r>
      <w:r>
        <w:rPr>
          <w:rFonts w:hint="eastAsia" w:ascii="宋体" w:hAnsi="宋体" w:cs="宋体"/>
          <w:kern w:val="0"/>
          <w:szCs w:val="21"/>
          <w:u w:val="single"/>
        </w:rPr>
        <w:fldChar w:fldCharType="begin"/>
      </w:r>
      <w:r>
        <w:rPr>
          <w:rFonts w:hint="eastAsia" w:ascii="宋体" w:hAnsi="宋体" w:cs="宋体"/>
          <w:kern w:val="0"/>
          <w:szCs w:val="21"/>
          <w:u w:val="single"/>
        </w:rPr>
        <w:instrText xml:space="preserve"> AUTOTEXT  input297 \* MERGEFORMAT </w:instrText>
      </w:r>
      <w:r>
        <w:rPr>
          <w:rFonts w:hint="eastAsia" w:ascii="宋体" w:hAnsi="宋体" w:cs="宋体"/>
          <w:kern w:val="0"/>
          <w:szCs w:val="21"/>
          <w:u w:val="single"/>
        </w:rPr>
        <w:fldChar w:fldCharType="end"/>
      </w:r>
    </w:p>
    <w:p w14:paraId="787DFC7E">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本《工程质量保修书》作为施工合同附件由发包人承包人双方共同签署。</w:t>
      </w:r>
    </w:p>
    <w:p w14:paraId="259CE5B8">
      <w:pPr>
        <w:widowControl/>
        <w:adjustRightInd w:val="0"/>
        <w:snapToGrid w:val="0"/>
        <w:spacing w:line="360" w:lineRule="auto"/>
        <w:ind w:firstLine="420" w:firstLineChars="200"/>
        <w:jc w:val="left"/>
        <w:rPr>
          <w:rFonts w:ascii="宋体" w:hAnsi="宋体" w:cs="宋体"/>
          <w:kern w:val="0"/>
          <w:szCs w:val="21"/>
        </w:rPr>
      </w:pPr>
    </w:p>
    <w:p w14:paraId="0DE53A42">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发  包  人（公章）：                     承  包  人（公章）：</w:t>
      </w:r>
    </w:p>
    <w:p w14:paraId="16DFACC6">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                     法定代表人（签字）：</w:t>
      </w:r>
    </w:p>
    <w:p w14:paraId="755B8909">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 xml:space="preserve">         年    月   日                           年   月    日</w:t>
      </w:r>
    </w:p>
    <w:p w14:paraId="31719835">
      <w:pPr>
        <w:widowControl/>
        <w:shd w:val="clear" w:color="auto" w:fill="FFFFFF"/>
        <w:tabs>
          <w:tab w:val="left" w:pos="426"/>
        </w:tabs>
        <w:adjustRightInd w:val="0"/>
        <w:snapToGrid w:val="0"/>
        <w:spacing w:line="360" w:lineRule="auto"/>
        <w:jc w:val="center"/>
        <w:rPr>
          <w:rFonts w:ascii="Arial" w:hAnsi="Arial" w:eastAsia="方正仿宋_GBK" w:cs="Arial"/>
          <w:b/>
          <w:kern w:val="0"/>
          <w:sz w:val="32"/>
          <w:szCs w:val="32"/>
        </w:rPr>
      </w:pPr>
    </w:p>
    <w:p w14:paraId="5E5BC867">
      <w:pPr>
        <w:rPr>
          <w:rStyle w:val="95"/>
          <w:rFonts w:ascii="宋体" w:hAnsi="宋体" w:cs="宋体"/>
          <w:sz w:val="28"/>
          <w:szCs w:val="28"/>
        </w:rPr>
      </w:pPr>
    </w:p>
    <w:p w14:paraId="6A37116D">
      <w:pPr>
        <w:rPr>
          <w:rStyle w:val="95"/>
          <w:rFonts w:ascii="宋体" w:hAnsi="宋体" w:cs="宋体"/>
          <w:sz w:val="28"/>
          <w:szCs w:val="28"/>
        </w:rPr>
      </w:pPr>
      <w:r>
        <w:br w:type="page"/>
      </w:r>
    </w:p>
    <w:p w14:paraId="3516C2FC">
      <w:pPr>
        <w:jc w:val="center"/>
        <w:outlineLvl w:val="0"/>
        <w:rPr>
          <w:rStyle w:val="95"/>
          <w:sz w:val="28"/>
          <w:szCs w:val="28"/>
        </w:rPr>
      </w:pPr>
      <w:bookmarkStart w:id="254" w:name="_Toc2454"/>
      <w:r>
        <w:rPr>
          <w:rStyle w:val="95"/>
          <w:rFonts w:hint="eastAsia" w:ascii="宋体" w:hAnsi="宋体" w:cs="宋体"/>
          <w:sz w:val="28"/>
          <w:szCs w:val="28"/>
        </w:rPr>
        <w:t>第六章</w:t>
      </w:r>
      <w:r>
        <w:rPr>
          <w:rStyle w:val="95"/>
          <w:rFonts w:ascii="宋体" w:hAnsi="宋体" w:cs="宋体"/>
          <w:sz w:val="28"/>
          <w:szCs w:val="28"/>
        </w:rPr>
        <w:t xml:space="preserve"> </w:t>
      </w:r>
      <w:r>
        <w:rPr>
          <w:rStyle w:val="95"/>
          <w:rFonts w:hint="eastAsia" w:ascii="宋体" w:hAnsi="宋体" w:cs="宋体"/>
          <w:sz w:val="28"/>
          <w:szCs w:val="28"/>
        </w:rPr>
        <w:t>响应文件格式</w:t>
      </w:r>
      <w:bookmarkEnd w:id="254"/>
    </w:p>
    <w:p w14:paraId="10CAEA9B">
      <w:pPr>
        <w:pStyle w:val="2"/>
        <w:ind w:firstLine="420"/>
        <w:rPr>
          <w:rFonts w:ascii="宋体" w:hAnsi="宋体" w:cs="宋体"/>
        </w:rPr>
      </w:pPr>
    </w:p>
    <w:p w14:paraId="06180E06">
      <w:pPr>
        <w:rPr>
          <w:rFonts w:ascii="宋体" w:hAnsi="宋体" w:cs="宋体"/>
          <w:b/>
          <w:sz w:val="44"/>
          <w:szCs w:val="44"/>
        </w:rPr>
      </w:pPr>
    </w:p>
    <w:p w14:paraId="485DB551">
      <w:pPr>
        <w:jc w:val="center"/>
        <w:rPr>
          <w:rFonts w:ascii="宋体" w:hAnsi="宋体" w:cs="宋体"/>
          <w:b/>
          <w:sz w:val="44"/>
          <w:szCs w:val="44"/>
        </w:rPr>
      </w:pPr>
      <w:r>
        <w:rPr>
          <w:rFonts w:hint="eastAsia" w:ascii="宋体" w:hAnsi="宋体" w:cs="宋体"/>
          <w:b/>
          <w:sz w:val="44"/>
          <w:szCs w:val="44"/>
        </w:rPr>
        <w:t>皇岗海关29栋、31栋、33栋、34栋公有住房修缮项目</w:t>
      </w:r>
    </w:p>
    <w:p w14:paraId="6FC4AD6D">
      <w:pPr>
        <w:autoSpaceDE w:val="0"/>
        <w:autoSpaceDN w:val="0"/>
        <w:adjustRightInd w:val="0"/>
        <w:snapToGrid w:val="0"/>
        <w:spacing w:line="360" w:lineRule="auto"/>
        <w:rPr>
          <w:rFonts w:ascii="宋体" w:hAnsi="宋体" w:cs="宋体"/>
          <w:b/>
          <w:spacing w:val="20"/>
          <w:kern w:val="0"/>
          <w:sz w:val="84"/>
          <w:szCs w:val="84"/>
        </w:rPr>
      </w:pPr>
    </w:p>
    <w:p w14:paraId="10A5C975">
      <w:pPr>
        <w:autoSpaceDE w:val="0"/>
        <w:autoSpaceDN w:val="0"/>
        <w:adjustRightInd w:val="0"/>
        <w:snapToGrid w:val="0"/>
        <w:spacing w:line="360" w:lineRule="auto"/>
        <w:jc w:val="center"/>
        <w:rPr>
          <w:rFonts w:ascii="宋体" w:hAnsi="宋体" w:cs="宋体"/>
          <w:b/>
          <w:spacing w:val="20"/>
          <w:kern w:val="0"/>
          <w:sz w:val="72"/>
          <w:szCs w:val="72"/>
        </w:rPr>
      </w:pPr>
      <w:r>
        <w:rPr>
          <w:rFonts w:hint="eastAsia" w:ascii="宋体" w:hAnsi="宋体" w:cs="宋体"/>
          <w:b/>
          <w:spacing w:val="20"/>
          <w:kern w:val="0"/>
          <w:sz w:val="72"/>
          <w:szCs w:val="72"/>
        </w:rPr>
        <w:t>响应文件</w:t>
      </w:r>
    </w:p>
    <w:p w14:paraId="4B54036D">
      <w:pPr>
        <w:autoSpaceDE w:val="0"/>
        <w:autoSpaceDN w:val="0"/>
        <w:adjustRightInd w:val="0"/>
        <w:snapToGrid w:val="0"/>
        <w:spacing w:line="360" w:lineRule="auto"/>
        <w:ind w:firstLine="963" w:firstLineChars="300"/>
        <w:rPr>
          <w:rFonts w:ascii="宋体" w:hAnsi="宋体" w:cs="宋体"/>
          <w:b/>
          <w:spacing w:val="20"/>
          <w:kern w:val="0"/>
          <w:sz w:val="28"/>
          <w:szCs w:val="40"/>
        </w:rPr>
      </w:pPr>
    </w:p>
    <w:p w14:paraId="5072BF3D">
      <w:pPr>
        <w:autoSpaceDE w:val="0"/>
        <w:autoSpaceDN w:val="0"/>
        <w:adjustRightInd w:val="0"/>
        <w:snapToGrid w:val="0"/>
        <w:spacing w:line="360" w:lineRule="auto"/>
        <w:ind w:firstLine="963" w:firstLineChars="300"/>
        <w:rPr>
          <w:rFonts w:ascii="宋体" w:hAnsi="宋体" w:cs="宋体"/>
          <w:b/>
          <w:spacing w:val="20"/>
          <w:kern w:val="0"/>
          <w:sz w:val="28"/>
          <w:szCs w:val="40"/>
        </w:rPr>
      </w:pPr>
    </w:p>
    <w:p w14:paraId="06E6DEAA">
      <w:pPr>
        <w:autoSpaceDE w:val="0"/>
        <w:autoSpaceDN w:val="0"/>
        <w:adjustRightInd w:val="0"/>
        <w:snapToGrid w:val="0"/>
        <w:spacing w:line="360" w:lineRule="auto"/>
        <w:ind w:firstLine="963" w:firstLineChars="300"/>
        <w:rPr>
          <w:rFonts w:ascii="宋体" w:hAnsi="宋体" w:cs="宋体"/>
          <w:b/>
          <w:spacing w:val="20"/>
          <w:kern w:val="0"/>
          <w:sz w:val="28"/>
          <w:szCs w:val="40"/>
        </w:rPr>
      </w:pPr>
    </w:p>
    <w:p w14:paraId="2BCC03BA">
      <w:pPr>
        <w:autoSpaceDE w:val="0"/>
        <w:autoSpaceDN w:val="0"/>
        <w:adjustRightInd w:val="0"/>
        <w:snapToGrid w:val="0"/>
        <w:spacing w:line="360" w:lineRule="auto"/>
        <w:ind w:firstLine="963" w:firstLineChars="300"/>
        <w:rPr>
          <w:rFonts w:ascii="宋体" w:hAnsi="宋体" w:cs="宋体"/>
          <w:b/>
          <w:spacing w:val="20"/>
          <w:kern w:val="0"/>
          <w:sz w:val="28"/>
          <w:szCs w:val="40"/>
        </w:rPr>
      </w:pPr>
    </w:p>
    <w:p w14:paraId="72023522">
      <w:pPr>
        <w:autoSpaceDE w:val="0"/>
        <w:autoSpaceDN w:val="0"/>
        <w:adjustRightInd w:val="0"/>
        <w:snapToGrid w:val="0"/>
        <w:spacing w:line="360" w:lineRule="auto"/>
        <w:ind w:firstLine="3853" w:firstLineChars="1200"/>
        <w:rPr>
          <w:rFonts w:ascii="宋体" w:hAnsi="宋体" w:cs="宋体"/>
          <w:b/>
          <w:spacing w:val="20"/>
          <w:kern w:val="0"/>
          <w:sz w:val="32"/>
          <w:szCs w:val="44"/>
        </w:rPr>
      </w:pPr>
      <w:r>
        <w:rPr>
          <w:rFonts w:hint="eastAsia" w:ascii="宋体" w:hAnsi="宋体" w:cs="宋体"/>
          <w:b/>
          <w:spacing w:val="20"/>
          <w:kern w:val="0"/>
          <w:sz w:val="28"/>
          <w:szCs w:val="40"/>
        </w:rPr>
        <w:t>项目编号</w:t>
      </w:r>
      <w:r>
        <w:rPr>
          <w:rFonts w:ascii="宋体" w:hAnsi="宋体" w:cs="宋体"/>
          <w:b/>
          <w:spacing w:val="20"/>
          <w:kern w:val="0"/>
          <w:sz w:val="28"/>
          <w:szCs w:val="40"/>
        </w:rPr>
        <w:t>:</w:t>
      </w:r>
    </w:p>
    <w:p w14:paraId="2099F9D2">
      <w:pPr>
        <w:autoSpaceDE w:val="0"/>
        <w:autoSpaceDN w:val="0"/>
        <w:adjustRightInd w:val="0"/>
        <w:snapToGrid w:val="0"/>
        <w:spacing w:line="360" w:lineRule="auto"/>
        <w:rPr>
          <w:rFonts w:ascii="宋体" w:hAnsi="宋体" w:cs="宋体"/>
          <w:b/>
          <w:spacing w:val="20"/>
          <w:kern w:val="0"/>
          <w:sz w:val="32"/>
          <w:szCs w:val="44"/>
        </w:rPr>
      </w:pPr>
    </w:p>
    <w:p w14:paraId="4DE0FAA1">
      <w:pPr>
        <w:autoSpaceDE w:val="0"/>
        <w:autoSpaceDN w:val="0"/>
        <w:adjustRightInd w:val="0"/>
        <w:snapToGrid w:val="0"/>
        <w:spacing w:line="360" w:lineRule="auto"/>
        <w:ind w:left="181" w:hanging="181" w:hangingChars="50"/>
        <w:rPr>
          <w:rFonts w:ascii="宋体" w:hAnsi="宋体" w:cs="宋体"/>
          <w:b/>
          <w:spacing w:val="20"/>
          <w:kern w:val="0"/>
          <w:sz w:val="32"/>
          <w:szCs w:val="44"/>
        </w:rPr>
      </w:pPr>
    </w:p>
    <w:p w14:paraId="5FFE9BBD">
      <w:pPr>
        <w:pStyle w:val="67"/>
        <w:rPr>
          <w:rFonts w:ascii="宋体" w:hAnsi="宋体" w:cs="宋体"/>
          <w:b/>
          <w:spacing w:val="20"/>
          <w:kern w:val="0"/>
          <w:sz w:val="32"/>
          <w:szCs w:val="44"/>
        </w:rPr>
      </w:pPr>
    </w:p>
    <w:p w14:paraId="04F28FEA">
      <w:pPr>
        <w:pStyle w:val="67"/>
        <w:rPr>
          <w:rFonts w:ascii="宋体" w:hAnsi="宋体" w:cs="宋体"/>
          <w:b/>
          <w:spacing w:val="20"/>
          <w:kern w:val="0"/>
          <w:sz w:val="32"/>
          <w:szCs w:val="44"/>
        </w:rPr>
      </w:pPr>
    </w:p>
    <w:p w14:paraId="5F13593F">
      <w:pPr>
        <w:pStyle w:val="67"/>
        <w:rPr>
          <w:rFonts w:ascii="宋体" w:hAnsi="宋体" w:cs="宋体"/>
          <w:b/>
          <w:spacing w:val="20"/>
          <w:kern w:val="0"/>
          <w:sz w:val="32"/>
          <w:szCs w:val="44"/>
        </w:rPr>
      </w:pPr>
    </w:p>
    <w:p w14:paraId="6B244561">
      <w:pPr>
        <w:autoSpaceDE w:val="0"/>
        <w:autoSpaceDN w:val="0"/>
        <w:adjustRightInd w:val="0"/>
        <w:snapToGrid w:val="0"/>
        <w:spacing w:line="360" w:lineRule="auto"/>
        <w:ind w:left="183" w:leftChars="87" w:firstLine="475" w:firstLineChars="148"/>
        <w:jc w:val="left"/>
        <w:rPr>
          <w:rFonts w:ascii="宋体" w:hAnsi="宋体" w:cs="宋体"/>
          <w:b/>
          <w:bCs/>
          <w:sz w:val="28"/>
          <w:szCs w:val="28"/>
        </w:rPr>
      </w:pPr>
      <w:r>
        <w:rPr>
          <w:rFonts w:hint="eastAsia" w:ascii="宋体" w:hAnsi="宋体" w:cs="宋体"/>
          <w:b/>
          <w:spacing w:val="20"/>
          <w:kern w:val="0"/>
          <w:sz w:val="28"/>
          <w:szCs w:val="28"/>
        </w:rPr>
        <w:t>供应商：</w:t>
      </w:r>
      <w:r>
        <w:rPr>
          <w:rFonts w:hint="eastAsia" w:ascii="宋体" w:hAnsi="宋体" w:cs="宋体"/>
          <w:b/>
          <w:bCs/>
          <w:sz w:val="28"/>
          <w:szCs w:val="28"/>
        </w:rPr>
        <w:t>（盖单位章）</w:t>
      </w:r>
    </w:p>
    <w:p w14:paraId="4411D859">
      <w:pPr>
        <w:autoSpaceDE w:val="0"/>
        <w:autoSpaceDN w:val="0"/>
        <w:adjustRightInd w:val="0"/>
        <w:snapToGrid w:val="0"/>
        <w:spacing w:line="360" w:lineRule="auto"/>
        <w:ind w:left="183" w:leftChars="87" w:firstLine="475" w:firstLineChars="148"/>
        <w:jc w:val="left"/>
        <w:rPr>
          <w:rFonts w:ascii="宋体" w:hAnsi="宋体" w:cs="宋体"/>
          <w:b/>
          <w:spacing w:val="20"/>
          <w:kern w:val="0"/>
          <w:sz w:val="28"/>
          <w:szCs w:val="28"/>
        </w:rPr>
      </w:pPr>
      <w:r>
        <w:rPr>
          <w:rFonts w:hint="eastAsia" w:ascii="宋体" w:hAnsi="宋体" w:cs="宋体"/>
          <w:b/>
          <w:spacing w:val="20"/>
          <w:kern w:val="0"/>
          <w:sz w:val="28"/>
          <w:szCs w:val="28"/>
        </w:rPr>
        <w:t>法定代表人或其委托代理人：</w:t>
      </w:r>
      <w:r>
        <w:rPr>
          <w:rFonts w:hint="eastAsia" w:ascii="宋体" w:hAnsi="宋体" w:cs="宋体"/>
          <w:b/>
          <w:bCs/>
          <w:sz w:val="28"/>
          <w:szCs w:val="28"/>
        </w:rPr>
        <w:t>（签字或盖章）</w:t>
      </w:r>
    </w:p>
    <w:p w14:paraId="746F50B1">
      <w:pPr>
        <w:pStyle w:val="67"/>
        <w:rPr>
          <w:rFonts w:ascii="宋体" w:hAnsi="宋体" w:cs="宋体"/>
          <w:b/>
          <w:bCs/>
          <w:sz w:val="28"/>
          <w:szCs w:val="28"/>
        </w:rPr>
      </w:pPr>
    </w:p>
    <w:p w14:paraId="33D89519">
      <w:pPr>
        <w:pStyle w:val="67"/>
        <w:rPr>
          <w:rFonts w:ascii="宋体" w:hAnsi="宋体" w:cs="宋体"/>
          <w:b/>
          <w:bCs/>
          <w:sz w:val="28"/>
          <w:szCs w:val="28"/>
        </w:rPr>
      </w:pPr>
    </w:p>
    <w:p w14:paraId="00686608">
      <w:pPr>
        <w:pStyle w:val="67"/>
        <w:rPr>
          <w:rFonts w:ascii="宋体" w:hAnsi="宋体" w:cs="宋体"/>
          <w:b/>
          <w:bCs/>
          <w:sz w:val="28"/>
          <w:szCs w:val="28"/>
        </w:rPr>
      </w:pPr>
    </w:p>
    <w:p w14:paraId="21A485F7">
      <w:pPr>
        <w:pStyle w:val="67"/>
        <w:rPr>
          <w:rFonts w:ascii="宋体" w:hAnsi="宋体" w:cs="宋体"/>
          <w:b/>
          <w:bCs/>
          <w:sz w:val="28"/>
          <w:szCs w:val="28"/>
        </w:rPr>
      </w:pPr>
    </w:p>
    <w:p w14:paraId="5297403A">
      <w:pPr>
        <w:pStyle w:val="67"/>
        <w:rPr>
          <w:rFonts w:ascii="宋体" w:hAnsi="宋体" w:cs="宋体"/>
          <w:b/>
          <w:bCs/>
          <w:sz w:val="28"/>
          <w:szCs w:val="28"/>
        </w:rPr>
      </w:pPr>
    </w:p>
    <w:p w14:paraId="17EF1AF4">
      <w:pPr>
        <w:jc w:val="center"/>
        <w:rPr>
          <w:rFonts w:ascii="宋体" w:hAnsi="宋体" w:cs="宋体"/>
          <w:b/>
          <w:spacing w:val="20"/>
          <w:kern w:val="0"/>
          <w:sz w:val="28"/>
          <w:szCs w:val="28"/>
        </w:rPr>
      </w:pPr>
      <w:r>
        <w:rPr>
          <w:rFonts w:hint="eastAsia" w:ascii="宋体" w:hAnsi="宋体" w:cs="宋体"/>
          <w:b/>
          <w:spacing w:val="20"/>
          <w:kern w:val="0"/>
          <w:sz w:val="28"/>
          <w:szCs w:val="28"/>
        </w:rPr>
        <w:t>年</w:t>
      </w:r>
      <w:r>
        <w:rPr>
          <w:rFonts w:ascii="宋体" w:hAnsi="宋体" w:cs="宋体"/>
          <w:b/>
          <w:spacing w:val="20"/>
          <w:kern w:val="0"/>
          <w:sz w:val="28"/>
          <w:szCs w:val="28"/>
        </w:rPr>
        <w:t xml:space="preserve"> </w:t>
      </w:r>
      <w:r>
        <w:rPr>
          <w:rFonts w:hint="eastAsia" w:ascii="宋体" w:hAnsi="宋体" w:cs="宋体"/>
          <w:b/>
          <w:spacing w:val="20"/>
          <w:kern w:val="0"/>
          <w:sz w:val="28"/>
          <w:szCs w:val="28"/>
        </w:rPr>
        <w:t>月</w:t>
      </w:r>
      <w:r>
        <w:rPr>
          <w:rFonts w:ascii="宋体" w:hAnsi="宋体" w:cs="宋体"/>
          <w:b/>
          <w:spacing w:val="20"/>
          <w:kern w:val="0"/>
          <w:sz w:val="28"/>
          <w:szCs w:val="28"/>
        </w:rPr>
        <w:t xml:space="preserve"> </w:t>
      </w:r>
      <w:r>
        <w:rPr>
          <w:rFonts w:hint="eastAsia" w:ascii="宋体" w:hAnsi="宋体" w:cs="宋体"/>
          <w:b/>
          <w:spacing w:val="20"/>
          <w:kern w:val="0"/>
          <w:sz w:val="28"/>
          <w:szCs w:val="28"/>
        </w:rPr>
        <w:t>日</w:t>
      </w:r>
    </w:p>
    <w:p w14:paraId="2DAD6487">
      <w:r>
        <w:br w:type="page"/>
      </w:r>
    </w:p>
    <w:p w14:paraId="331C8957">
      <w:pPr>
        <w:pStyle w:val="5"/>
        <w:numPr>
          <w:ilvl w:val="0"/>
          <w:numId w:val="0"/>
        </w:numPr>
      </w:pPr>
      <w:bookmarkStart w:id="255" w:name="_Toc27277"/>
      <w:r>
        <w:t xml:space="preserve">1. </w:t>
      </w:r>
      <w:r>
        <w:rPr>
          <w:rFonts w:hint="eastAsia"/>
        </w:rPr>
        <w:t>供应商基本情况及资格证明文件</w:t>
      </w:r>
      <w:bookmarkEnd w:id="255"/>
    </w:p>
    <w:p w14:paraId="204FDA65">
      <w:pPr>
        <w:jc w:val="left"/>
        <w:outlineLvl w:val="3"/>
        <w:rPr>
          <w:rFonts w:ascii="宋体" w:hAnsi="宋体" w:cs="宋体"/>
          <w:b/>
          <w:sz w:val="24"/>
        </w:rPr>
      </w:pPr>
      <w:r>
        <w:rPr>
          <w:rFonts w:hint="eastAsia" w:ascii="宋体" w:hAnsi="宋体" w:cs="宋体"/>
          <w:b/>
          <w:sz w:val="24"/>
        </w:rPr>
        <w:t>（1）安全承诺书</w:t>
      </w:r>
    </w:p>
    <w:p w14:paraId="0414B2CC">
      <w:pPr>
        <w:widowControl/>
        <w:adjustRightInd w:val="0"/>
        <w:snapToGrid w:val="0"/>
        <w:spacing w:line="360" w:lineRule="auto"/>
        <w:jc w:val="center"/>
        <w:rPr>
          <w:rFonts w:ascii="宋体" w:hAnsi="宋体" w:cs="宋体"/>
          <w:kern w:val="0"/>
          <w:szCs w:val="21"/>
        </w:rPr>
      </w:pPr>
      <w:r>
        <w:rPr>
          <w:rFonts w:hint="eastAsia" w:ascii="宋体" w:hAnsi="宋体" w:cs="宋体"/>
          <w:b/>
          <w:kern w:val="0"/>
          <w:szCs w:val="21"/>
        </w:rPr>
        <w:t>安全承诺书</w:t>
      </w:r>
    </w:p>
    <w:p w14:paraId="561AD67D">
      <w:pPr>
        <w:widowControl/>
        <w:adjustRightInd w:val="0"/>
        <w:snapToGrid w:val="0"/>
        <w:spacing w:line="360" w:lineRule="auto"/>
        <w:ind w:firstLine="420" w:firstLineChars="200"/>
        <w:jc w:val="left"/>
        <w:rPr>
          <w:rFonts w:ascii="宋体" w:hAnsi="宋体" w:cs="宋体"/>
          <w:kern w:val="0"/>
          <w:szCs w:val="21"/>
        </w:rPr>
      </w:pPr>
      <w:r>
        <w:rPr>
          <w:rFonts w:hint="eastAsia" w:ascii="宋体" w:hAnsi="宋体" w:cs="宋体"/>
          <w:kern w:val="0"/>
          <w:szCs w:val="21"/>
        </w:rPr>
        <w:t>我方承诺，在履行合同期间采取有效的安全防护措施，保证采购人人员、我方人员及第三方人员的人身、财产安全。由于我方原因造成的任何人员、财产等受到损害，我方将无条件给予妥善处理并承担相应的赔偿责任。</w:t>
      </w:r>
    </w:p>
    <w:p w14:paraId="0E8E949D">
      <w:pPr>
        <w:widowControl/>
        <w:adjustRightInd w:val="0"/>
        <w:snapToGrid w:val="0"/>
        <w:spacing w:line="360" w:lineRule="auto"/>
        <w:ind w:firstLine="5460" w:firstLineChars="2600"/>
        <w:rPr>
          <w:rFonts w:ascii="宋体" w:hAnsi="宋体" w:cs="宋体"/>
          <w:kern w:val="0"/>
          <w:szCs w:val="21"/>
        </w:rPr>
      </w:pPr>
      <w:r>
        <w:rPr>
          <w:rFonts w:hint="eastAsia" w:ascii="宋体" w:hAnsi="宋体" w:cs="宋体"/>
          <w:kern w:val="0"/>
          <w:szCs w:val="21"/>
        </w:rPr>
        <w:t>供应商(公章):</w:t>
      </w:r>
    </w:p>
    <w:p w14:paraId="1F8B2013">
      <w:pPr>
        <w:widowControl/>
        <w:adjustRightInd w:val="0"/>
        <w:snapToGrid w:val="0"/>
        <w:spacing w:line="360" w:lineRule="auto"/>
        <w:ind w:firstLine="5460" w:firstLineChars="2600"/>
        <w:rPr>
          <w:rFonts w:ascii="宋体" w:hAnsi="宋体" w:cs="宋体"/>
          <w:kern w:val="0"/>
          <w:szCs w:val="21"/>
        </w:rPr>
      </w:pPr>
      <w:r>
        <w:rPr>
          <w:rFonts w:hint="eastAsia" w:ascii="宋体" w:hAnsi="宋体" w:cs="宋体"/>
          <w:kern w:val="0"/>
          <w:szCs w:val="21"/>
        </w:rPr>
        <w:t>日期:    年  月  日</w:t>
      </w:r>
    </w:p>
    <w:p w14:paraId="0304B83D">
      <w:pPr>
        <w:spacing w:line="360" w:lineRule="auto"/>
        <w:ind w:firstLine="422" w:firstLineChars="200"/>
        <w:rPr>
          <w:rFonts w:cs="Arial"/>
          <w:b/>
          <w:szCs w:val="21"/>
        </w:rPr>
      </w:pPr>
    </w:p>
    <w:p w14:paraId="71C0FFEB">
      <w:pPr>
        <w:spacing w:line="360" w:lineRule="auto"/>
        <w:ind w:firstLine="422" w:firstLineChars="200"/>
        <w:rPr>
          <w:rFonts w:cs="Arial"/>
          <w:b/>
          <w:szCs w:val="21"/>
        </w:rPr>
      </w:pPr>
    </w:p>
    <w:p w14:paraId="296EF690">
      <w:pPr>
        <w:jc w:val="left"/>
        <w:outlineLvl w:val="3"/>
        <w:rPr>
          <w:rFonts w:ascii="宋体" w:hAnsi="宋体" w:cs="宋体"/>
          <w:b/>
          <w:sz w:val="24"/>
        </w:rPr>
      </w:pPr>
      <w:r>
        <w:rPr>
          <w:rFonts w:hint="eastAsia" w:ascii="宋体" w:hAnsi="宋体" w:cs="宋体"/>
          <w:b/>
          <w:sz w:val="24"/>
        </w:rPr>
        <w:t>（2）供应商须按本采购文件第一章竞争性磋商公告第三条“申请人资格要求”提供相关的资质证明，且已接受报名的单位，不代表资格审查通过。响应文件中未提供或提供不完整、不符合要求的，响应文件将按无效标的情形处理。</w:t>
      </w:r>
    </w:p>
    <w:p w14:paraId="7CC8611A">
      <w:pPr>
        <w:spacing w:line="360" w:lineRule="auto"/>
        <w:ind w:firstLine="422" w:firstLineChars="200"/>
        <w:rPr>
          <w:rFonts w:cs="Arial"/>
          <w:b/>
          <w:szCs w:val="21"/>
        </w:rPr>
      </w:pPr>
    </w:p>
    <w:p w14:paraId="4B1A1B04">
      <w:pPr>
        <w:jc w:val="left"/>
        <w:outlineLvl w:val="3"/>
        <w:rPr>
          <w:rFonts w:ascii="宋体" w:hAnsi="宋体" w:cs="宋体"/>
          <w:b/>
          <w:sz w:val="24"/>
        </w:rPr>
      </w:pPr>
      <w:r>
        <w:rPr>
          <w:rFonts w:hint="eastAsia" w:ascii="宋体" w:hAnsi="宋体" w:cs="宋体"/>
          <w:b/>
          <w:sz w:val="24"/>
        </w:rPr>
        <w:t>（3）优惠政策声明函等证明文件</w:t>
      </w:r>
    </w:p>
    <w:p w14:paraId="75E41AAB">
      <w:pPr>
        <w:ind w:firstLine="420"/>
        <w:rPr>
          <w:rFonts w:ascii="Times New Roman" w:hAnsi="Times New Roman"/>
          <w:szCs w:val="21"/>
        </w:rPr>
      </w:pPr>
      <w:r>
        <w:rPr>
          <w:rFonts w:ascii="Times New Roman" w:hAnsi="Times New Roman"/>
          <w:szCs w:val="21"/>
        </w:rPr>
        <w:t>填写指引：</w:t>
      </w:r>
    </w:p>
    <w:p w14:paraId="07517430">
      <w:pPr>
        <w:ind w:left="-2" w:leftChars="-1" w:firstLine="420" w:firstLineChars="200"/>
        <w:rPr>
          <w:rFonts w:ascii="Times New Roman" w:hAnsi="Times New Roman"/>
          <w:bCs/>
          <w:szCs w:val="21"/>
        </w:rPr>
      </w:pPr>
      <w:r>
        <w:rPr>
          <w:rFonts w:ascii="Times New Roman" w:hAnsi="Times New Roman"/>
          <w:bCs/>
          <w:szCs w:val="21"/>
        </w:rPr>
        <w:t>1.该部分内容由供应商根据自身实际情况填写，不符合要求的供应商可以不填写或直接删除相应的声明函。供应商自行对声明内容的真实性负责；如提供虚假声明，将报送主管部门进行行政处罚。若无法确定是否为中小微企业，可查阅《关于印发中小企业划型标准规定的通知》（工信部联企业〔2011〕300号）或向深圳市中小企业服务局咨询。</w:t>
      </w:r>
      <w:r>
        <w:rPr>
          <w:rFonts w:hint="eastAsia"/>
          <w:szCs w:val="21"/>
        </w:rPr>
        <w:t>中小企业参加政府采购活动，应当按照国务院批准的《中小企业划型标准规定》（工信部联企业〔2011〕300 号）、《金融业企业划型标准规定》（银发〔2015〕309 号）和《财政部 工业和信息化部关于印发〈政府采购促进中小企业发展管理办法〉的通知》（财库〔2020〕46 号）的规定，出具《中小企业声明函》，《中小企业声明函》中相关企业所属行业应当与采购标的所属行业相一致。该部分内容填写需要参考的相关文件：(1)财政部《政府采购促进中小企业发展管理办法》（财库〔2020〕46号）；(2)《工业和信息化部、国家统计局、国家发展和改革委员会、财政部关于印发中小企业划型标准规定的通知》（工信部联企业〔2011〕300 号，以下简称300号文）。</w:t>
      </w:r>
      <w:r>
        <w:rPr>
          <w:rFonts w:ascii="Times New Roman" w:hAnsi="Times New Roman"/>
          <w:bCs/>
          <w:szCs w:val="21"/>
        </w:rPr>
        <w:t xml:space="preserve">  </w:t>
      </w:r>
    </w:p>
    <w:p w14:paraId="6C580B2D">
      <w:pPr>
        <w:ind w:left="-2" w:leftChars="-1" w:firstLine="420" w:firstLineChars="200"/>
        <w:rPr>
          <w:rFonts w:ascii="Times New Roman" w:hAnsi="Times New Roman"/>
          <w:bCs/>
          <w:szCs w:val="21"/>
        </w:rPr>
      </w:pPr>
      <w:r>
        <w:rPr>
          <w:rFonts w:ascii="Times New Roman" w:hAnsi="Times New Roman"/>
          <w:bCs/>
          <w:szCs w:val="21"/>
        </w:rPr>
        <w:t>2.该部分内容填写需要参考的相关文件（</w:t>
      </w:r>
      <w:r>
        <w:rPr>
          <w:rStyle w:val="60"/>
          <w:color w:val="auto"/>
        </w:rPr>
        <w:t>-</w:t>
      </w:r>
      <w:r>
        <w:fldChar w:fldCharType="begin"/>
      </w:r>
      <w:r>
        <w:instrText xml:space="preserve"> HYPERLINK "http://www.szsszx.com/Files/Editor/file/202106041655230146.rar" </w:instrText>
      </w:r>
      <w:r>
        <w:fldChar w:fldCharType="separate"/>
      </w:r>
      <w:r>
        <w:rPr>
          <w:rStyle w:val="60"/>
          <w:bCs/>
          <w:color w:val="auto"/>
          <w:szCs w:val="21"/>
        </w:rPr>
        <w:t>点此下载</w:t>
      </w:r>
      <w:r>
        <w:rPr>
          <w:rStyle w:val="60"/>
          <w:bCs/>
          <w:color w:val="auto"/>
          <w:szCs w:val="21"/>
        </w:rPr>
        <w:fldChar w:fldCharType="end"/>
      </w:r>
      <w:r>
        <w:rPr>
          <w:rStyle w:val="60"/>
          <w:color w:val="auto"/>
        </w:rPr>
        <w:t>-</w:t>
      </w:r>
      <w:r>
        <w:rPr>
          <w:rFonts w:ascii="Times New Roman" w:hAnsi="Times New Roman"/>
          <w:bCs/>
          <w:szCs w:val="21"/>
        </w:rPr>
        <w:t>）：</w:t>
      </w:r>
    </w:p>
    <w:p w14:paraId="3AF2426B">
      <w:pPr>
        <w:ind w:left="-2" w:leftChars="-1" w:firstLine="420" w:firstLineChars="200"/>
        <w:rPr>
          <w:rFonts w:ascii="Times New Roman" w:hAnsi="Times New Roman"/>
          <w:bCs/>
          <w:szCs w:val="21"/>
        </w:rPr>
      </w:pPr>
      <w:r>
        <w:rPr>
          <w:rFonts w:ascii="Times New Roman" w:hAnsi="Times New Roman"/>
          <w:bCs/>
          <w:szCs w:val="21"/>
        </w:rPr>
        <w:t>（1）财政部《关于印发&lt;政府采购促进中小企业发展管理办法&gt;的通知》（财库〔2020〕46号）；</w:t>
      </w:r>
    </w:p>
    <w:p w14:paraId="7E47E9AC">
      <w:pPr>
        <w:ind w:left="-2" w:leftChars="-1" w:firstLine="420" w:firstLineChars="200"/>
        <w:rPr>
          <w:rFonts w:ascii="Times New Roman" w:hAnsi="Times New Roman"/>
          <w:bCs/>
          <w:szCs w:val="21"/>
        </w:rPr>
      </w:pPr>
      <w:r>
        <w:rPr>
          <w:rFonts w:ascii="Times New Roman" w:hAnsi="Times New Roman"/>
          <w:bCs/>
          <w:szCs w:val="21"/>
        </w:rPr>
        <w:t>（</w:t>
      </w:r>
      <w:r>
        <w:rPr>
          <w:rFonts w:hint="eastAsia" w:ascii="Times New Roman" w:hAnsi="Times New Roman"/>
          <w:bCs/>
          <w:szCs w:val="21"/>
        </w:rPr>
        <w:t>2</w:t>
      </w:r>
      <w:r>
        <w:rPr>
          <w:rFonts w:ascii="Times New Roman" w:hAnsi="Times New Roman"/>
          <w:bCs/>
          <w:szCs w:val="21"/>
        </w:rPr>
        <w:t xml:space="preserve">）《工业和信息化部、国家统计局、国家发展和改革委员会、财政部关于印发中小企业划型标准规定的通知》（工信部联企业〔2011〕300号）。 </w:t>
      </w:r>
    </w:p>
    <w:p w14:paraId="5D3C430E">
      <w:pPr>
        <w:ind w:left="-2" w:leftChars="-1" w:firstLine="420" w:firstLineChars="200"/>
        <w:rPr>
          <w:rFonts w:ascii="Times New Roman" w:hAnsi="Times New Roman"/>
          <w:bCs/>
          <w:szCs w:val="21"/>
        </w:rPr>
      </w:pPr>
      <w:r>
        <w:rPr>
          <w:rFonts w:ascii="Times New Roman" w:hAnsi="Times New Roman"/>
          <w:bCs/>
          <w:szCs w:val="21"/>
        </w:rPr>
        <w:t xml:space="preserve">3.请依照提供的格式和内容填写声明函，不要随意变更格式或增删内容；满足多项优惠政策的企业，不重复享受多项价格扣除政策。 </w:t>
      </w:r>
    </w:p>
    <w:p w14:paraId="0F75393D">
      <w:pPr>
        <w:ind w:left="-2" w:leftChars="-1" w:firstLine="420" w:firstLineChars="200"/>
        <w:rPr>
          <w:rFonts w:ascii="Times New Roman" w:hAnsi="Times New Roman"/>
          <w:bCs/>
          <w:szCs w:val="21"/>
        </w:rPr>
      </w:pPr>
      <w:r>
        <w:rPr>
          <w:rFonts w:ascii="Times New Roman" w:hAnsi="Times New Roman"/>
          <w:bCs/>
          <w:szCs w:val="21"/>
        </w:rPr>
        <w:t xml:space="preserve">4.声明函具体填写要求： </w:t>
      </w:r>
    </w:p>
    <w:p w14:paraId="647A93DA">
      <w:pPr>
        <w:ind w:left="-2" w:leftChars="-1" w:firstLine="420" w:firstLineChars="200"/>
        <w:rPr>
          <w:rFonts w:ascii="Times New Roman" w:hAnsi="Times New Roman"/>
          <w:bCs/>
          <w:szCs w:val="21"/>
        </w:rPr>
      </w:pPr>
      <w:r>
        <w:rPr>
          <w:rFonts w:ascii="Times New Roman" w:hAnsi="Times New Roman"/>
          <w:bCs/>
          <w:szCs w:val="21"/>
        </w:rPr>
        <w:t xml:space="preserve">（1）声明是中小企业须填写《中小企业声明函》的以下五项内容（填写位置的字体已加粗）： </w:t>
      </w:r>
    </w:p>
    <w:p w14:paraId="1F925263">
      <w:pPr>
        <w:ind w:left="-2" w:leftChars="-1" w:firstLine="420" w:firstLineChars="200"/>
        <w:rPr>
          <w:rFonts w:ascii="Times New Roman" w:hAnsi="Times New Roman"/>
          <w:bCs/>
          <w:szCs w:val="21"/>
        </w:rPr>
      </w:pPr>
      <w:r>
        <w:rPr>
          <w:rFonts w:ascii="Times New Roman" w:hAnsi="Times New Roman"/>
          <w:bCs/>
          <w:szCs w:val="21"/>
        </w:rPr>
        <w:t xml:space="preserve">第一处，在下划线上如实填写中型或小型或微型； </w:t>
      </w:r>
    </w:p>
    <w:p w14:paraId="304847A5">
      <w:pPr>
        <w:ind w:left="-2" w:leftChars="-1" w:firstLine="420" w:firstLineChars="200"/>
        <w:rPr>
          <w:rFonts w:ascii="Times New Roman" w:hAnsi="Times New Roman"/>
          <w:bCs/>
          <w:szCs w:val="21"/>
        </w:rPr>
      </w:pPr>
      <w:r>
        <w:rPr>
          <w:rFonts w:ascii="Times New Roman" w:hAnsi="Times New Roman"/>
          <w:bCs/>
          <w:szCs w:val="21"/>
        </w:rPr>
        <w:t xml:space="preserve">第二处，在下划线上如实填写中型或小型或微型； </w:t>
      </w:r>
    </w:p>
    <w:p w14:paraId="05C87E66">
      <w:pPr>
        <w:ind w:left="-2" w:leftChars="-1" w:firstLine="420" w:firstLineChars="200"/>
        <w:rPr>
          <w:rFonts w:ascii="Times New Roman" w:hAnsi="Times New Roman"/>
          <w:bCs/>
          <w:szCs w:val="21"/>
        </w:rPr>
      </w:pPr>
      <w:r>
        <w:rPr>
          <w:rFonts w:ascii="Times New Roman" w:hAnsi="Times New Roman"/>
          <w:bCs/>
          <w:szCs w:val="21"/>
        </w:rPr>
        <w:t xml:space="preserve">第三处，在“采购单位名称”下划线处填写本项目的实际采购单位名称（深圳市深水水务咨询有限公司不是本项目的采购单位，而是本项目的组织实施机构）； </w:t>
      </w:r>
    </w:p>
    <w:p w14:paraId="56470A0D">
      <w:pPr>
        <w:ind w:left="-2" w:leftChars="-1" w:firstLine="420" w:firstLineChars="200"/>
        <w:rPr>
          <w:rFonts w:ascii="Times New Roman" w:hAnsi="Times New Roman"/>
          <w:bCs/>
          <w:szCs w:val="21"/>
        </w:rPr>
      </w:pPr>
      <w:r>
        <w:rPr>
          <w:rFonts w:ascii="Times New Roman" w:hAnsi="Times New Roman"/>
          <w:bCs/>
          <w:szCs w:val="21"/>
        </w:rPr>
        <w:t>第四处，在“采购项目名称”下划线处填写本项目的实际项目名称（项目名称可在</w:t>
      </w:r>
      <w:r>
        <w:rPr>
          <w:rFonts w:hint="eastAsia" w:ascii="Times New Roman" w:hAnsi="Times New Roman"/>
          <w:bCs/>
          <w:szCs w:val="21"/>
        </w:rPr>
        <w:t>竞争性磋商</w:t>
      </w:r>
      <w:r>
        <w:rPr>
          <w:rFonts w:ascii="Times New Roman" w:hAnsi="Times New Roman"/>
          <w:bCs/>
          <w:szCs w:val="21"/>
        </w:rPr>
        <w:t xml:space="preserve">公告处查看）； </w:t>
      </w:r>
    </w:p>
    <w:p w14:paraId="201EFBAE">
      <w:pPr>
        <w:ind w:left="-2" w:leftChars="-1" w:firstLine="420" w:firstLineChars="200"/>
        <w:rPr>
          <w:rFonts w:ascii="Times New Roman" w:hAnsi="Times New Roman"/>
          <w:bCs/>
          <w:szCs w:val="21"/>
        </w:rPr>
      </w:pPr>
      <w:r>
        <w:rPr>
          <w:rFonts w:ascii="Times New Roman" w:hAnsi="Times New Roman"/>
          <w:bCs/>
          <w:szCs w:val="21"/>
        </w:rPr>
        <w:t>第五处，在“□本企业制造的货物” 或“□提供其他</w:t>
      </w:r>
      <w:r>
        <w:rPr>
          <w:rFonts w:ascii="Times New Roman" w:hAnsi="Times New Roman"/>
          <w:bCs/>
          <w:szCs w:val="21"/>
          <w:u w:val="single"/>
        </w:rPr>
        <w:t>______</w:t>
      </w:r>
      <w:r>
        <w:rPr>
          <w:rFonts w:ascii="Times New Roman" w:hAnsi="Times New Roman"/>
          <w:bCs/>
          <w:szCs w:val="21"/>
        </w:rPr>
        <w:t>企业（请填写：中型、小型、微型）制造的货物”两处中选择一处打√；如选择在“□提供其他</w:t>
      </w:r>
      <w:r>
        <w:rPr>
          <w:rFonts w:ascii="Times New Roman" w:hAnsi="Times New Roman"/>
          <w:bCs/>
          <w:szCs w:val="21"/>
          <w:u w:val="single"/>
        </w:rPr>
        <w:t>______</w:t>
      </w:r>
      <w:r>
        <w:rPr>
          <w:rFonts w:ascii="Times New Roman" w:hAnsi="Times New Roman"/>
          <w:bCs/>
          <w:szCs w:val="21"/>
        </w:rPr>
        <w:t xml:space="preserve">企业（请填写：中型、小型、微型）制造的货物”一处打√，还须在此下划线处如实填写中型或小型或微型； </w:t>
      </w:r>
    </w:p>
    <w:p w14:paraId="1CB8FA8F">
      <w:pPr>
        <w:ind w:left="-2" w:leftChars="-1" w:firstLine="420" w:firstLineChars="200"/>
        <w:rPr>
          <w:rFonts w:ascii="Times New Roman" w:hAnsi="Times New Roman"/>
          <w:bCs/>
          <w:szCs w:val="21"/>
        </w:rPr>
      </w:pPr>
      <w:r>
        <w:rPr>
          <w:rFonts w:ascii="Times New Roman" w:hAnsi="Times New Roman"/>
          <w:bCs/>
          <w:szCs w:val="21"/>
        </w:rPr>
        <w:t>同时请注意：“□本企业制造的货物” 、“□提供其他</w:t>
      </w:r>
      <w:r>
        <w:rPr>
          <w:rFonts w:ascii="Times New Roman" w:hAnsi="Times New Roman"/>
          <w:bCs/>
          <w:szCs w:val="21"/>
          <w:u w:val="single"/>
        </w:rPr>
        <w:t>______</w:t>
      </w:r>
      <w:r>
        <w:rPr>
          <w:rFonts w:ascii="Times New Roman" w:hAnsi="Times New Roman"/>
          <w:bCs/>
          <w:szCs w:val="21"/>
        </w:rPr>
        <w:t>企业（请填写：中型、小型、微型）制造的货物”中所称的货物是指单一产品采购项目中的货物，或者非单一产品采购项目中的核心产品（货物），不包括使用大型企业注册商标的货物；本项中的货物制造商应当在</w:t>
      </w:r>
      <w:r>
        <w:rPr>
          <w:rFonts w:hint="eastAsia" w:ascii="Times New Roman" w:hAnsi="Times New Roman"/>
          <w:bCs/>
          <w:szCs w:val="21"/>
        </w:rPr>
        <w:t>响应</w:t>
      </w:r>
      <w:r>
        <w:rPr>
          <w:rFonts w:ascii="Times New Roman" w:hAnsi="Times New Roman"/>
          <w:bCs/>
          <w:szCs w:val="21"/>
        </w:rPr>
        <w:t>文件“分项报价清单”中明确列明。</w:t>
      </w:r>
    </w:p>
    <w:p w14:paraId="35041857">
      <w:pPr>
        <w:tabs>
          <w:tab w:val="left" w:pos="426"/>
        </w:tabs>
        <w:ind w:firstLine="422" w:firstLineChars="200"/>
        <w:rPr>
          <w:rFonts w:ascii="Times New Roman" w:hAnsi="Times New Roman"/>
          <w:b/>
          <w:bCs/>
        </w:rPr>
      </w:pPr>
      <w:r>
        <w:rPr>
          <w:rFonts w:ascii="Times New Roman" w:hAnsi="Times New Roman"/>
          <w:b/>
          <w:bCs/>
        </w:rPr>
        <w:t>《中小企业声明函》中制造商、承接/承建企业所属行业应当与</w:t>
      </w:r>
      <w:r>
        <w:rPr>
          <w:rFonts w:hint="eastAsia" w:ascii="Times New Roman" w:hAnsi="Times New Roman"/>
          <w:b/>
          <w:bCs/>
        </w:rPr>
        <w:t>磋商</w:t>
      </w:r>
      <w:r>
        <w:rPr>
          <w:rFonts w:ascii="Times New Roman" w:hAnsi="Times New Roman"/>
          <w:b/>
          <w:bCs/>
        </w:rPr>
        <w:t>文件要求的行业相一致，供应商如有疑问，可根据《国民经济行业分类》（GB/T4754-2002），结合《关 于 印 发 中 小 企 业 划 型 标 准 规 定 的 通 知 》 （ 工 信 部 联 企 业〔2011〕300 号）进行判断。事业单位、社会组织等非企业主体不享受中小企业扶持政策，但事业单位、社会组织等非企业主体提供全部由中小企业制造的货物参加货物采购项目的除外</w:t>
      </w:r>
      <w:r>
        <w:rPr>
          <w:rFonts w:hint="eastAsia" w:ascii="Times New Roman" w:hAnsi="Times New Roman"/>
          <w:b/>
          <w:bCs/>
        </w:rPr>
        <w:t>。</w:t>
      </w:r>
    </w:p>
    <w:p w14:paraId="2AAD68C8">
      <w:pPr>
        <w:ind w:left="-2" w:leftChars="-1" w:firstLine="420" w:firstLineChars="200"/>
        <w:rPr>
          <w:rFonts w:ascii="Times New Roman" w:hAnsi="Times New Roman"/>
          <w:bCs/>
          <w:szCs w:val="21"/>
        </w:rPr>
      </w:pPr>
      <w:r>
        <w:rPr>
          <w:rFonts w:ascii="Times New Roman" w:hAnsi="Times New Roman"/>
          <w:bCs/>
          <w:szCs w:val="21"/>
        </w:rPr>
        <w:t xml:space="preserve">（2）声明是残疾人福利性单位须填写《残疾人福利性单位声明函》的三项内容（填写位置的字体已加粗），具体参照以上《中小企业声明函》填写要求执行。 </w:t>
      </w:r>
    </w:p>
    <w:p w14:paraId="66F8B437">
      <w:pPr>
        <w:ind w:left="-2" w:leftChars="-1" w:firstLine="420" w:firstLineChars="200"/>
        <w:rPr>
          <w:rFonts w:ascii="Times New Roman" w:hAnsi="Times New Roman"/>
          <w:bCs/>
          <w:szCs w:val="21"/>
        </w:rPr>
      </w:pPr>
      <w:r>
        <w:rPr>
          <w:rFonts w:ascii="Times New Roman" w:hAnsi="Times New Roman"/>
          <w:bCs/>
          <w:szCs w:val="21"/>
        </w:rPr>
        <w:t xml:space="preserve">（3）声明是监狱企业须填写《监狱企业声明函》的三项内容（填写位置的字体已加粗），具体参照以上《中小企业声明函》填写要求执行。 </w:t>
      </w:r>
    </w:p>
    <w:p w14:paraId="3C0B9083">
      <w:pPr>
        <w:ind w:left="-2" w:leftChars="-1" w:firstLine="420" w:firstLineChars="200"/>
        <w:rPr>
          <w:rFonts w:ascii="Times New Roman" w:hAnsi="Times New Roman"/>
          <w:bCs/>
          <w:szCs w:val="21"/>
        </w:rPr>
      </w:pPr>
      <w:r>
        <w:rPr>
          <w:rFonts w:ascii="Times New Roman" w:hAnsi="Times New Roman"/>
          <w:bCs/>
          <w:szCs w:val="21"/>
        </w:rPr>
        <w:t>5.声明函的有效性最终由评审委员会判定；如评审委员会判定声明函无效，相关供应商不享受价格扣除（但不作无效处理）。</w:t>
      </w:r>
    </w:p>
    <w:p w14:paraId="6B2FF1A9">
      <w:pPr>
        <w:spacing w:line="360" w:lineRule="auto"/>
        <w:ind w:left="-2" w:leftChars="-1" w:firstLine="420" w:firstLineChars="200"/>
        <w:rPr>
          <w:rFonts w:ascii="宋体" w:hAnsi="宋体" w:cs="宋体"/>
          <w:szCs w:val="21"/>
        </w:rPr>
      </w:pPr>
    </w:p>
    <w:p w14:paraId="5812F81B">
      <w:pPr>
        <w:tabs>
          <w:tab w:val="left" w:pos="426"/>
        </w:tabs>
        <w:spacing w:line="360" w:lineRule="auto"/>
        <w:rPr>
          <w:rFonts w:ascii="宋体" w:hAnsi="宋体" w:cs="宋体"/>
          <w:szCs w:val="21"/>
        </w:rPr>
      </w:pPr>
    </w:p>
    <w:p w14:paraId="4058FCDC">
      <w:pPr>
        <w:jc w:val="center"/>
        <w:rPr>
          <w:b/>
          <w:sz w:val="24"/>
        </w:rPr>
      </w:pPr>
      <w:r>
        <w:rPr>
          <w:rFonts w:hint="eastAsia"/>
          <w:b/>
          <w:sz w:val="24"/>
        </w:rPr>
        <w:t>（一）中小企业声明函（工程）</w:t>
      </w:r>
    </w:p>
    <w:p w14:paraId="3BAF60CE">
      <w:pPr>
        <w:pStyle w:val="21"/>
        <w:spacing w:line="360" w:lineRule="auto"/>
        <w:rPr>
          <w:rFonts w:cs="宋体"/>
          <w:sz w:val="21"/>
          <w:szCs w:val="21"/>
        </w:rPr>
      </w:pPr>
    </w:p>
    <w:p w14:paraId="1569E1A7">
      <w:pPr>
        <w:pStyle w:val="21"/>
        <w:tabs>
          <w:tab w:val="left" w:pos="426"/>
        </w:tabs>
        <w:wordWrap w:val="0"/>
        <w:spacing w:before="55" w:line="360" w:lineRule="auto"/>
        <w:ind w:right="415" w:firstLine="640"/>
        <w:rPr>
          <w:rFonts w:cs="宋体"/>
          <w:spacing w:val="-2"/>
          <w:sz w:val="21"/>
          <w:szCs w:val="21"/>
        </w:rPr>
      </w:pPr>
      <w:r>
        <w:rPr>
          <w:rFonts w:hint="eastAsia" w:cs="宋体"/>
          <w:spacing w:val="-2"/>
          <w:sz w:val="21"/>
          <w:szCs w:val="21"/>
        </w:rPr>
        <w:t>本公司（联合体）郑重声明，根据《政府采购促进中小企业发展管理办法》（财库﹝2020﹞46 号）的规定，本公司（联合体）参加</w:t>
      </w:r>
      <w:r>
        <w:rPr>
          <w:rFonts w:hint="eastAsia" w:cs="宋体"/>
          <w:spacing w:val="-2"/>
          <w:sz w:val="21"/>
          <w:szCs w:val="21"/>
          <w:u w:val="single"/>
        </w:rPr>
        <w:t>（单位名称）</w:t>
      </w:r>
      <w:r>
        <w:rPr>
          <w:rFonts w:hint="eastAsia" w:cs="宋体"/>
          <w:spacing w:val="-2"/>
          <w:sz w:val="21"/>
          <w:szCs w:val="21"/>
        </w:rPr>
        <w:t>的</w:t>
      </w:r>
      <w:r>
        <w:rPr>
          <w:rFonts w:hint="eastAsia" w:cs="宋体"/>
          <w:spacing w:val="-2"/>
          <w:sz w:val="21"/>
          <w:szCs w:val="21"/>
          <w:u w:val="single"/>
        </w:rPr>
        <w:t>（项目名称）</w:t>
      </w:r>
      <w:r>
        <w:rPr>
          <w:rFonts w:hint="eastAsia" w:cs="宋体"/>
          <w:spacing w:val="-2"/>
          <w:sz w:val="21"/>
          <w:szCs w:val="21"/>
        </w:rPr>
        <w:t>采购活动，工程的施工单位全部为符合政策要求的中小企业。相关企业（含联合 体中的中小企业、签订分包意向协议的中小企业）的具体情况如下：</w:t>
      </w:r>
    </w:p>
    <w:p w14:paraId="41F99C2F">
      <w:pPr>
        <w:pStyle w:val="21"/>
        <w:tabs>
          <w:tab w:val="left" w:pos="426"/>
        </w:tabs>
        <w:wordWrap w:val="0"/>
        <w:spacing w:before="55" w:line="360" w:lineRule="auto"/>
        <w:ind w:right="415" w:firstLine="640"/>
        <w:rPr>
          <w:rFonts w:cs="宋体"/>
          <w:spacing w:val="-2"/>
          <w:sz w:val="21"/>
          <w:szCs w:val="21"/>
        </w:rPr>
      </w:pPr>
      <w:r>
        <w:rPr>
          <w:rFonts w:hint="eastAsia" w:cs="宋体"/>
          <w:spacing w:val="-2"/>
          <w:sz w:val="21"/>
          <w:szCs w:val="21"/>
        </w:rPr>
        <w:t>1.</w:t>
      </w:r>
      <w:r>
        <w:rPr>
          <w:rFonts w:hint="eastAsia" w:cs="宋体"/>
          <w:spacing w:val="-2"/>
          <w:sz w:val="21"/>
          <w:szCs w:val="21"/>
          <w:u w:val="single"/>
        </w:rPr>
        <w:t>（标的名称）</w:t>
      </w:r>
      <w:r>
        <w:rPr>
          <w:rFonts w:hint="eastAsia" w:cs="宋体"/>
          <w:spacing w:val="-2"/>
          <w:sz w:val="21"/>
          <w:szCs w:val="21"/>
        </w:rPr>
        <w:t>，属于</w:t>
      </w:r>
      <w:r>
        <w:rPr>
          <w:rFonts w:hint="eastAsia" w:cs="宋体"/>
          <w:spacing w:val="-2"/>
          <w:sz w:val="21"/>
          <w:szCs w:val="21"/>
          <w:u w:val="single"/>
        </w:rPr>
        <w:t>（采购文件中明确的所属行业）</w:t>
      </w:r>
      <w:r>
        <w:rPr>
          <w:rFonts w:hint="eastAsia" w:cs="宋体"/>
          <w:spacing w:val="-2"/>
          <w:sz w:val="21"/>
          <w:szCs w:val="21"/>
        </w:rPr>
        <w:t>；承建企业为</w:t>
      </w:r>
      <w:r>
        <w:rPr>
          <w:rFonts w:hint="eastAsia" w:cs="宋体"/>
          <w:spacing w:val="-2"/>
          <w:sz w:val="21"/>
          <w:szCs w:val="21"/>
          <w:u w:val="single"/>
        </w:rPr>
        <w:t>（企业名称）</w:t>
      </w:r>
      <w:r>
        <w:rPr>
          <w:rFonts w:hint="eastAsia" w:cs="宋体"/>
          <w:spacing w:val="-2"/>
          <w:sz w:val="21"/>
          <w:szCs w:val="21"/>
        </w:rPr>
        <w:t>，从业人员</w:t>
      </w:r>
      <w:r>
        <w:rPr>
          <w:rFonts w:hint="eastAsia" w:cs="宋体"/>
          <w:spacing w:val="-2"/>
          <w:sz w:val="21"/>
          <w:szCs w:val="21"/>
          <w:u w:val="single"/>
        </w:rPr>
        <w:t xml:space="preserve">     </w:t>
      </w:r>
      <w:r>
        <w:rPr>
          <w:rFonts w:hint="eastAsia" w:cs="宋体"/>
          <w:spacing w:val="-2"/>
          <w:sz w:val="21"/>
          <w:szCs w:val="21"/>
        </w:rPr>
        <w:t>人，营业收入为</w:t>
      </w:r>
      <w:r>
        <w:rPr>
          <w:rFonts w:hint="eastAsia" w:cs="宋体"/>
          <w:spacing w:val="-2"/>
          <w:sz w:val="21"/>
          <w:szCs w:val="21"/>
          <w:u w:val="single"/>
        </w:rPr>
        <w:t xml:space="preserve">      </w:t>
      </w:r>
      <w:r>
        <w:rPr>
          <w:rFonts w:hint="eastAsia" w:cs="宋体"/>
          <w:spacing w:val="-2"/>
          <w:sz w:val="21"/>
          <w:szCs w:val="21"/>
        </w:rPr>
        <w:t>万元，资产总额为</w:t>
      </w:r>
      <w:r>
        <w:rPr>
          <w:rFonts w:hint="eastAsia" w:cs="宋体"/>
          <w:spacing w:val="-2"/>
          <w:sz w:val="21"/>
          <w:szCs w:val="21"/>
          <w:u w:val="single"/>
        </w:rPr>
        <w:t xml:space="preserve">    </w:t>
      </w:r>
      <w:r>
        <w:rPr>
          <w:rFonts w:hint="eastAsia" w:cs="宋体"/>
          <w:spacing w:val="-2"/>
          <w:sz w:val="21"/>
          <w:szCs w:val="21"/>
        </w:rPr>
        <w:t>万元，属于（中型企业、小型企业、微型企业）；</w:t>
      </w:r>
    </w:p>
    <w:p w14:paraId="4CAB7D60">
      <w:pPr>
        <w:pStyle w:val="21"/>
        <w:tabs>
          <w:tab w:val="left" w:pos="426"/>
        </w:tabs>
        <w:wordWrap w:val="0"/>
        <w:spacing w:before="55" w:line="360" w:lineRule="auto"/>
        <w:ind w:right="415" w:firstLine="640"/>
        <w:rPr>
          <w:rFonts w:cs="宋体"/>
          <w:spacing w:val="-2"/>
          <w:sz w:val="21"/>
          <w:szCs w:val="21"/>
        </w:rPr>
      </w:pPr>
      <w:r>
        <w:rPr>
          <w:rFonts w:hint="eastAsia" w:cs="宋体"/>
          <w:spacing w:val="-2"/>
          <w:sz w:val="21"/>
          <w:szCs w:val="21"/>
        </w:rPr>
        <w:t>2.</w:t>
      </w:r>
      <w:r>
        <w:rPr>
          <w:rFonts w:hint="eastAsia" w:cs="宋体"/>
          <w:spacing w:val="-2"/>
          <w:sz w:val="21"/>
          <w:szCs w:val="21"/>
          <w:u w:val="single"/>
        </w:rPr>
        <w:t>（标的名称）</w:t>
      </w:r>
      <w:r>
        <w:rPr>
          <w:rFonts w:hint="eastAsia" w:cs="宋体"/>
          <w:spacing w:val="-2"/>
          <w:sz w:val="21"/>
          <w:szCs w:val="21"/>
        </w:rPr>
        <w:t>，属于</w:t>
      </w:r>
      <w:r>
        <w:rPr>
          <w:rFonts w:hint="eastAsia" w:cs="宋体"/>
          <w:spacing w:val="-2"/>
          <w:sz w:val="21"/>
          <w:szCs w:val="21"/>
          <w:u w:val="single"/>
        </w:rPr>
        <w:t>（采购文件中明确的所属行业）</w:t>
      </w:r>
      <w:r>
        <w:rPr>
          <w:rFonts w:hint="eastAsia" w:cs="宋体"/>
          <w:spacing w:val="-2"/>
          <w:sz w:val="21"/>
          <w:szCs w:val="21"/>
        </w:rPr>
        <w:t>；承建企业为</w:t>
      </w:r>
      <w:r>
        <w:rPr>
          <w:rFonts w:hint="eastAsia" w:cs="宋体"/>
          <w:spacing w:val="-2"/>
          <w:sz w:val="21"/>
          <w:szCs w:val="21"/>
          <w:u w:val="single"/>
        </w:rPr>
        <w:t>（企业名称）</w:t>
      </w:r>
      <w:r>
        <w:rPr>
          <w:rFonts w:hint="eastAsia" w:cs="宋体"/>
          <w:spacing w:val="-2"/>
          <w:sz w:val="21"/>
          <w:szCs w:val="21"/>
        </w:rPr>
        <w:t>，从业人员</w:t>
      </w:r>
      <w:r>
        <w:rPr>
          <w:rFonts w:hint="eastAsia" w:cs="宋体"/>
          <w:spacing w:val="-2"/>
          <w:sz w:val="21"/>
          <w:szCs w:val="21"/>
          <w:u w:val="single"/>
        </w:rPr>
        <w:t xml:space="preserve">     </w:t>
      </w:r>
      <w:r>
        <w:rPr>
          <w:rFonts w:hint="eastAsia" w:cs="宋体"/>
          <w:spacing w:val="-2"/>
          <w:sz w:val="21"/>
          <w:szCs w:val="21"/>
        </w:rPr>
        <w:t>人，营业收入为</w:t>
      </w:r>
      <w:r>
        <w:rPr>
          <w:rFonts w:hint="eastAsia" w:cs="宋体"/>
          <w:spacing w:val="-2"/>
          <w:sz w:val="21"/>
          <w:szCs w:val="21"/>
          <w:u w:val="single"/>
        </w:rPr>
        <w:t xml:space="preserve">      </w:t>
      </w:r>
      <w:r>
        <w:rPr>
          <w:rFonts w:hint="eastAsia" w:cs="宋体"/>
          <w:spacing w:val="-2"/>
          <w:sz w:val="21"/>
          <w:szCs w:val="21"/>
        </w:rPr>
        <w:t>万元，资产总额为</w:t>
      </w:r>
      <w:r>
        <w:rPr>
          <w:rFonts w:hint="eastAsia" w:cs="宋体"/>
          <w:spacing w:val="-2"/>
          <w:sz w:val="21"/>
          <w:szCs w:val="21"/>
          <w:u w:val="single"/>
        </w:rPr>
        <w:t xml:space="preserve">    </w:t>
      </w:r>
      <w:r>
        <w:rPr>
          <w:rFonts w:hint="eastAsia" w:cs="宋体"/>
          <w:spacing w:val="-2"/>
          <w:sz w:val="21"/>
          <w:szCs w:val="21"/>
        </w:rPr>
        <w:t>万元，属于（中型企业、小型企业、微型企业）；</w:t>
      </w:r>
    </w:p>
    <w:p w14:paraId="645D1B55">
      <w:pPr>
        <w:pStyle w:val="21"/>
        <w:tabs>
          <w:tab w:val="left" w:pos="426"/>
        </w:tabs>
        <w:wordWrap w:val="0"/>
        <w:spacing w:before="11" w:line="360" w:lineRule="auto"/>
        <w:ind w:left="860"/>
        <w:rPr>
          <w:rFonts w:cs="宋体"/>
          <w:sz w:val="21"/>
          <w:szCs w:val="21"/>
        </w:rPr>
      </w:pPr>
      <w:r>
        <w:rPr>
          <w:rFonts w:hint="eastAsia" w:cs="宋体"/>
          <w:sz w:val="21"/>
          <w:szCs w:val="21"/>
        </w:rPr>
        <w:t>……</w:t>
      </w:r>
    </w:p>
    <w:p w14:paraId="6586E820">
      <w:pPr>
        <w:pStyle w:val="21"/>
        <w:tabs>
          <w:tab w:val="left" w:pos="426"/>
        </w:tabs>
        <w:wordWrap w:val="0"/>
        <w:spacing w:before="108" w:line="360" w:lineRule="auto"/>
        <w:ind w:right="417" w:firstLine="645"/>
        <w:rPr>
          <w:rFonts w:cs="宋体"/>
          <w:sz w:val="21"/>
          <w:szCs w:val="21"/>
        </w:rPr>
      </w:pPr>
      <w:r>
        <w:rPr>
          <w:rFonts w:hint="eastAsia" w:cs="宋体"/>
          <w:spacing w:val="-3"/>
          <w:sz w:val="21"/>
          <w:szCs w:val="21"/>
        </w:rPr>
        <w:t>以上企业，不属于大企业的分支机构，不存在控股股东</w:t>
      </w:r>
      <w:r>
        <w:rPr>
          <w:rFonts w:hint="eastAsia" w:cs="宋体"/>
          <w:spacing w:val="-5"/>
          <w:sz w:val="21"/>
          <w:szCs w:val="21"/>
        </w:rPr>
        <w:t>为大企业的情形，也不存在与大企业的负责人为同一人的情形。</w:t>
      </w:r>
    </w:p>
    <w:p w14:paraId="31EC9C95">
      <w:pPr>
        <w:pStyle w:val="21"/>
        <w:tabs>
          <w:tab w:val="left" w:pos="426"/>
        </w:tabs>
        <w:wordWrap w:val="0"/>
        <w:spacing w:line="360" w:lineRule="auto"/>
        <w:ind w:right="375" w:firstLine="640"/>
        <w:rPr>
          <w:rFonts w:cs="宋体"/>
          <w:sz w:val="21"/>
          <w:szCs w:val="21"/>
        </w:rPr>
      </w:pPr>
      <w:r>
        <w:rPr>
          <w:rFonts w:hint="eastAsia" w:cs="宋体"/>
          <w:sz w:val="21"/>
          <w:szCs w:val="21"/>
        </w:rPr>
        <w:t>本企业对上述声明内容的真实性负责。如有虚假，将依法承担相应责任。</w:t>
      </w:r>
    </w:p>
    <w:p w14:paraId="1425D834">
      <w:pPr>
        <w:pStyle w:val="21"/>
        <w:tabs>
          <w:tab w:val="left" w:pos="426"/>
        </w:tabs>
        <w:wordWrap w:val="0"/>
        <w:spacing w:line="360" w:lineRule="auto"/>
        <w:ind w:right="375" w:firstLine="640"/>
        <w:jc w:val="right"/>
        <w:rPr>
          <w:rFonts w:cs="宋体"/>
          <w:sz w:val="21"/>
          <w:szCs w:val="21"/>
        </w:rPr>
      </w:pPr>
    </w:p>
    <w:p w14:paraId="1E397EBF">
      <w:pPr>
        <w:pStyle w:val="21"/>
        <w:tabs>
          <w:tab w:val="left" w:pos="426"/>
        </w:tabs>
        <w:wordWrap w:val="0"/>
        <w:spacing w:line="360" w:lineRule="auto"/>
        <w:ind w:right="375" w:firstLine="640"/>
        <w:jc w:val="right"/>
        <w:rPr>
          <w:rFonts w:cs="宋体"/>
          <w:sz w:val="21"/>
          <w:szCs w:val="21"/>
        </w:rPr>
      </w:pPr>
      <w:r>
        <w:rPr>
          <w:rFonts w:hint="eastAsia" w:cs="宋体"/>
          <w:sz w:val="21"/>
          <w:szCs w:val="21"/>
        </w:rPr>
        <w:t>企业名称（盖章）</w:t>
      </w:r>
    </w:p>
    <w:p w14:paraId="2F6378C9">
      <w:pPr>
        <w:pStyle w:val="21"/>
        <w:tabs>
          <w:tab w:val="left" w:pos="426"/>
        </w:tabs>
        <w:wordWrap w:val="0"/>
        <w:spacing w:line="360" w:lineRule="auto"/>
        <w:ind w:right="375" w:firstLine="640"/>
        <w:jc w:val="right"/>
        <w:rPr>
          <w:rFonts w:cs="宋体"/>
          <w:sz w:val="21"/>
          <w:szCs w:val="21"/>
        </w:rPr>
      </w:pPr>
      <w:r>
        <w:rPr>
          <w:rFonts w:hint="eastAsia" w:cs="宋体"/>
          <w:sz w:val="21"/>
          <w:szCs w:val="21"/>
        </w:rPr>
        <w:t>日期：</w:t>
      </w:r>
    </w:p>
    <w:p w14:paraId="765B0C35">
      <w:pPr>
        <w:pStyle w:val="374"/>
        <w:spacing w:before="0" w:beforeAutospacing="0" w:after="0" w:afterAutospacing="0" w:line="360" w:lineRule="auto"/>
        <w:rPr>
          <w:rFonts w:ascii="宋体" w:hAnsi="宋体" w:cs="宋体"/>
          <w:szCs w:val="21"/>
        </w:rPr>
      </w:pPr>
    </w:p>
    <w:p w14:paraId="2B5E98AA">
      <w:pPr>
        <w:jc w:val="center"/>
        <w:rPr>
          <w:b/>
          <w:sz w:val="24"/>
        </w:rPr>
      </w:pPr>
      <w:r>
        <w:rPr>
          <w:rFonts w:hint="eastAsia"/>
          <w:b/>
          <w:sz w:val="24"/>
        </w:rPr>
        <w:t>（二）残疾人福利性单位声明函（样表）</w:t>
      </w:r>
    </w:p>
    <w:p w14:paraId="3F936361">
      <w:pPr>
        <w:pStyle w:val="374"/>
        <w:wordWrap w:val="0"/>
        <w:spacing w:before="0" w:beforeAutospacing="0" w:after="0" w:afterAutospacing="0" w:line="360" w:lineRule="auto"/>
        <w:rPr>
          <w:rFonts w:ascii="宋体" w:hAnsi="宋体" w:cs="宋体"/>
          <w:szCs w:val="21"/>
        </w:rPr>
      </w:pPr>
    </w:p>
    <w:p w14:paraId="4A539FD4">
      <w:pPr>
        <w:pStyle w:val="374"/>
        <w:wordWrap w:val="0"/>
        <w:spacing w:before="0" w:beforeAutospacing="0" w:after="0" w:afterAutospacing="0" w:line="360" w:lineRule="auto"/>
        <w:ind w:firstLine="624"/>
        <w:rPr>
          <w:rFonts w:ascii="宋体" w:hAnsi="宋体" w:cs="宋体"/>
          <w:szCs w:val="21"/>
        </w:rPr>
      </w:pPr>
      <w:r>
        <w:rPr>
          <w:rStyle w:val="375"/>
          <w:rFonts w:hint="eastAsia" w:ascii="宋体" w:hAnsi="宋体" w:cs="宋体"/>
          <w:szCs w:val="21"/>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szCs w:val="21"/>
          <w:u w:val="single"/>
        </w:rPr>
        <w:t>采购单位名称）_</w:t>
      </w:r>
      <w:r>
        <w:rPr>
          <w:rFonts w:hint="eastAsia" w:ascii="宋体" w:hAnsi="宋体" w:cs="宋体"/>
          <w:szCs w:val="21"/>
        </w:rPr>
        <w:t>单位的</w:t>
      </w:r>
      <w:r>
        <w:rPr>
          <w:rFonts w:hint="eastAsia" w:ascii="宋体" w:hAnsi="宋体" w:cs="宋体"/>
          <w:szCs w:val="21"/>
          <w:u w:val="single"/>
        </w:rPr>
        <w:t>_（采购项目名称）</w:t>
      </w:r>
      <w:r>
        <w:rPr>
          <w:rStyle w:val="375"/>
          <w:rFonts w:hint="eastAsia" w:ascii="宋体" w:hAnsi="宋体" w:cs="宋体"/>
          <w:szCs w:val="21"/>
        </w:rPr>
        <w:t>项目采购活动提供本单位制造的货物（由本单位承担工程）。</w:t>
      </w:r>
    </w:p>
    <w:p w14:paraId="126764C8">
      <w:pPr>
        <w:pStyle w:val="374"/>
        <w:wordWrap w:val="0"/>
        <w:spacing w:before="0" w:beforeAutospacing="0" w:after="0" w:afterAutospacing="0" w:line="360" w:lineRule="auto"/>
        <w:ind w:firstLine="624"/>
        <w:rPr>
          <w:rFonts w:ascii="宋体" w:hAnsi="宋体" w:cs="宋体"/>
          <w:szCs w:val="21"/>
        </w:rPr>
      </w:pPr>
      <w:r>
        <w:rPr>
          <w:rStyle w:val="375"/>
          <w:rFonts w:hint="eastAsia" w:ascii="宋体" w:hAnsi="宋体" w:cs="宋体"/>
          <w:szCs w:val="21"/>
        </w:rPr>
        <w:t>本单位对上述声明的真实性负责。如有虚假，将依法承担相应责任。</w:t>
      </w:r>
    </w:p>
    <w:p w14:paraId="644CCA11">
      <w:pPr>
        <w:pStyle w:val="374"/>
        <w:wordWrap w:val="0"/>
        <w:spacing w:before="0" w:beforeAutospacing="0" w:after="0" w:afterAutospacing="0" w:line="360" w:lineRule="auto"/>
        <w:ind w:right="1560" w:firstLine="624"/>
        <w:jc w:val="right"/>
        <w:rPr>
          <w:rFonts w:ascii="宋体" w:hAnsi="宋体" w:cs="宋体"/>
          <w:szCs w:val="21"/>
        </w:rPr>
      </w:pPr>
      <w:r>
        <w:rPr>
          <w:rStyle w:val="375"/>
          <w:rFonts w:hint="eastAsia" w:ascii="宋体" w:hAnsi="宋体" w:cs="宋体"/>
          <w:szCs w:val="21"/>
        </w:rPr>
        <w:t>单位名称（盖章）：</w:t>
      </w:r>
    </w:p>
    <w:p w14:paraId="07CB4815">
      <w:pPr>
        <w:pStyle w:val="374"/>
        <w:wordWrap w:val="0"/>
        <w:spacing w:before="0" w:beforeAutospacing="0" w:after="0" w:afterAutospacing="0" w:line="360" w:lineRule="auto"/>
        <w:ind w:right="1560" w:firstLine="624"/>
        <w:jc w:val="right"/>
        <w:rPr>
          <w:rStyle w:val="375"/>
          <w:rFonts w:ascii="宋体" w:hAnsi="宋体" w:cs="宋体"/>
          <w:szCs w:val="21"/>
        </w:rPr>
      </w:pPr>
      <w:r>
        <w:rPr>
          <w:rStyle w:val="375"/>
          <w:rFonts w:hint="eastAsia" w:ascii="宋体" w:hAnsi="宋体" w:cs="宋体"/>
          <w:szCs w:val="21"/>
        </w:rPr>
        <w:t>日 期：</w:t>
      </w:r>
    </w:p>
    <w:p w14:paraId="5DD58263">
      <w:pPr>
        <w:pStyle w:val="374"/>
        <w:spacing w:before="0" w:beforeAutospacing="0" w:after="0" w:afterAutospacing="0" w:line="360" w:lineRule="auto"/>
        <w:ind w:right="1560" w:firstLine="624"/>
        <w:jc w:val="right"/>
        <w:rPr>
          <w:rStyle w:val="375"/>
          <w:rFonts w:ascii="宋体" w:hAnsi="宋体" w:cs="宋体"/>
          <w:szCs w:val="21"/>
        </w:rPr>
      </w:pPr>
    </w:p>
    <w:p w14:paraId="1E40396A">
      <w:pPr>
        <w:jc w:val="center"/>
        <w:rPr>
          <w:b/>
          <w:sz w:val="24"/>
        </w:rPr>
      </w:pPr>
      <w:r>
        <w:rPr>
          <w:rFonts w:hint="eastAsia"/>
          <w:b/>
          <w:sz w:val="24"/>
        </w:rPr>
        <w:t>（三）省级以上监狱管理局、戒毒管理局（含新疆生产建设兵团）出具的属于监狱企业的证明文件（样表）</w:t>
      </w:r>
    </w:p>
    <w:p w14:paraId="1D48D4C1">
      <w:pPr>
        <w:tabs>
          <w:tab w:val="left" w:pos="426"/>
        </w:tabs>
        <w:spacing w:line="360" w:lineRule="auto"/>
        <w:ind w:firstLine="420" w:firstLineChars="200"/>
        <w:rPr>
          <w:rFonts w:ascii="宋体" w:hAnsi="宋体" w:cs="宋体"/>
          <w:szCs w:val="21"/>
        </w:rPr>
      </w:pPr>
    </w:p>
    <w:p w14:paraId="7B9FB739">
      <w:pPr>
        <w:tabs>
          <w:tab w:val="left" w:pos="426"/>
        </w:tabs>
        <w:spacing w:line="360" w:lineRule="auto"/>
        <w:ind w:firstLine="420" w:firstLineChars="200"/>
        <w:rPr>
          <w:rFonts w:ascii="宋体" w:hAnsi="宋体" w:cs="宋体"/>
          <w:szCs w:val="21"/>
        </w:rPr>
      </w:pPr>
      <w:r>
        <w:rPr>
          <w:rFonts w:hint="eastAsia" w:ascii="宋体" w:hAnsi="宋体" w:cs="宋体"/>
          <w:szCs w:val="21"/>
        </w:rPr>
        <w:t>本单位郑重声明，根据《财政部司法部关于政府采购支持监狱企业发展有关问题的通知》（财库〔2014〕68号）的规定，本单位为符合条件的监狱企业，且本单位参加</w:t>
      </w:r>
      <w:r>
        <w:rPr>
          <w:rFonts w:hint="eastAsia" w:ascii="宋体" w:hAnsi="宋体" w:cs="宋体"/>
          <w:szCs w:val="21"/>
          <w:u w:val="single"/>
        </w:rPr>
        <w:t>（采购单位名称）</w:t>
      </w:r>
      <w:r>
        <w:rPr>
          <w:rFonts w:hint="eastAsia" w:ascii="宋体" w:hAnsi="宋体" w:cs="宋体"/>
          <w:szCs w:val="21"/>
        </w:rPr>
        <w:t>单位的</w:t>
      </w:r>
      <w:r>
        <w:rPr>
          <w:rFonts w:hint="eastAsia" w:ascii="宋体" w:hAnsi="宋体" w:cs="宋体"/>
          <w:szCs w:val="21"/>
          <w:u w:val="single"/>
        </w:rPr>
        <w:t>（采购项目名称）</w:t>
      </w:r>
      <w:r>
        <w:rPr>
          <w:rFonts w:hint="eastAsia" w:ascii="宋体" w:hAnsi="宋体" w:cs="宋体"/>
          <w:szCs w:val="21"/>
        </w:rPr>
        <w:t>项目采购活动，并提供:由本单位承担的工程。</w:t>
      </w:r>
    </w:p>
    <w:p w14:paraId="1D8F06B6">
      <w:pPr>
        <w:tabs>
          <w:tab w:val="left" w:pos="426"/>
        </w:tabs>
        <w:spacing w:line="360" w:lineRule="auto"/>
        <w:ind w:firstLine="420" w:firstLineChars="200"/>
        <w:rPr>
          <w:rFonts w:ascii="宋体" w:hAnsi="宋体" w:cs="宋体"/>
          <w:szCs w:val="21"/>
        </w:rPr>
      </w:pPr>
      <w:r>
        <w:rPr>
          <w:rFonts w:hint="eastAsia" w:ascii="宋体" w:hAnsi="宋体" w:cs="宋体"/>
          <w:szCs w:val="21"/>
        </w:rPr>
        <w:t>本单位对上述声明的真实性负责。如有虚假，将依法承担相应责任。</w:t>
      </w:r>
    </w:p>
    <w:p w14:paraId="3AF063ED">
      <w:pPr>
        <w:tabs>
          <w:tab w:val="left" w:pos="426"/>
        </w:tabs>
        <w:spacing w:line="360" w:lineRule="auto"/>
        <w:ind w:firstLine="420" w:firstLineChars="200"/>
        <w:rPr>
          <w:rFonts w:ascii="宋体" w:hAnsi="宋体" w:cs="宋体"/>
          <w:szCs w:val="21"/>
        </w:rPr>
      </w:pPr>
      <w:r>
        <w:rPr>
          <w:rFonts w:hint="eastAsia" w:ascii="宋体" w:hAnsi="宋体" w:cs="宋体"/>
          <w:szCs w:val="21"/>
        </w:rPr>
        <w:t>附：省级以上监狱管理局、戒毒管理局（含新疆生产建设兵团）出具的监狱企业证明文件。</w:t>
      </w:r>
    </w:p>
    <w:p w14:paraId="2E431C88">
      <w:pPr>
        <w:tabs>
          <w:tab w:val="left" w:pos="426"/>
        </w:tabs>
        <w:spacing w:line="360" w:lineRule="auto"/>
        <w:ind w:firstLine="420" w:firstLineChars="200"/>
        <w:jc w:val="right"/>
        <w:rPr>
          <w:rFonts w:ascii="宋体" w:hAnsi="宋体" w:cs="宋体"/>
          <w:szCs w:val="21"/>
        </w:rPr>
      </w:pPr>
      <w:r>
        <w:rPr>
          <w:rFonts w:hint="eastAsia" w:ascii="宋体" w:hAnsi="宋体" w:cs="宋体"/>
          <w:szCs w:val="21"/>
        </w:rPr>
        <w:t>单位名称（盖章）：</w:t>
      </w:r>
      <w:r>
        <w:rPr>
          <w:rFonts w:hint="eastAsia" w:ascii="宋体" w:hAnsi="宋体" w:cs="宋体"/>
          <w:szCs w:val="21"/>
          <w:u w:val="single"/>
        </w:rPr>
        <w:t>__________________</w:t>
      </w:r>
    </w:p>
    <w:p w14:paraId="5D0B6A0D">
      <w:pPr>
        <w:tabs>
          <w:tab w:val="left" w:pos="426"/>
        </w:tabs>
        <w:spacing w:line="360" w:lineRule="auto"/>
        <w:ind w:firstLine="420" w:firstLineChars="200"/>
        <w:jc w:val="right"/>
        <w:rPr>
          <w:rFonts w:ascii="宋体" w:hAnsi="宋体" w:cs="宋体"/>
          <w:szCs w:val="21"/>
        </w:rPr>
      </w:pPr>
      <w:r>
        <w:rPr>
          <w:rFonts w:hint="eastAsia" w:ascii="宋体" w:hAnsi="宋体" w:cs="宋体"/>
          <w:szCs w:val="21"/>
        </w:rPr>
        <w:t>日期：</w:t>
      </w:r>
      <w:r>
        <w:rPr>
          <w:rFonts w:hint="eastAsia" w:ascii="宋体" w:hAnsi="宋体" w:cs="宋体"/>
          <w:szCs w:val="21"/>
          <w:u w:val="single"/>
        </w:rPr>
        <w:t>_________________</w:t>
      </w:r>
    </w:p>
    <w:p w14:paraId="63539C1D">
      <w:pPr>
        <w:tabs>
          <w:tab w:val="left" w:pos="426"/>
        </w:tabs>
        <w:spacing w:line="360" w:lineRule="auto"/>
        <w:ind w:firstLine="420"/>
        <w:rPr>
          <w:rFonts w:ascii="宋体" w:hAnsi="宋体" w:cs="宋体"/>
          <w:szCs w:val="21"/>
        </w:rPr>
      </w:pPr>
    </w:p>
    <w:p w14:paraId="66D6F479">
      <w:pPr>
        <w:tabs>
          <w:tab w:val="left" w:pos="426"/>
        </w:tabs>
        <w:spacing w:line="360" w:lineRule="auto"/>
        <w:ind w:firstLine="420"/>
        <w:rPr>
          <w:rFonts w:ascii="宋体" w:hAnsi="宋体" w:cs="宋体"/>
          <w:szCs w:val="21"/>
        </w:rPr>
      </w:pPr>
    </w:p>
    <w:p w14:paraId="6A58DEDD">
      <w:pPr>
        <w:tabs>
          <w:tab w:val="left" w:pos="426"/>
        </w:tabs>
        <w:spacing w:line="360" w:lineRule="auto"/>
        <w:ind w:firstLine="420"/>
        <w:rPr>
          <w:rFonts w:ascii="宋体" w:hAnsi="宋体" w:cs="宋体"/>
          <w:szCs w:val="21"/>
        </w:rPr>
      </w:pPr>
    </w:p>
    <w:p w14:paraId="327CCE2F">
      <w:pPr>
        <w:jc w:val="center"/>
        <w:rPr>
          <w:b/>
          <w:sz w:val="24"/>
        </w:rPr>
      </w:pPr>
      <w:r>
        <w:rPr>
          <w:rFonts w:hint="eastAsia"/>
          <w:b/>
          <w:sz w:val="24"/>
        </w:rPr>
        <w:t>（四）含有小型、微型企业的联合体声明函（样表）</w:t>
      </w:r>
    </w:p>
    <w:p w14:paraId="46D6925C">
      <w:pPr>
        <w:tabs>
          <w:tab w:val="left" w:pos="426"/>
        </w:tabs>
        <w:spacing w:line="360" w:lineRule="auto"/>
        <w:ind w:firstLine="420" w:firstLineChars="200"/>
        <w:rPr>
          <w:rFonts w:ascii="宋体" w:hAnsi="宋体" w:cs="宋体"/>
          <w:szCs w:val="21"/>
        </w:rPr>
      </w:pPr>
    </w:p>
    <w:p w14:paraId="1A31EFA6">
      <w:pPr>
        <w:tabs>
          <w:tab w:val="left" w:pos="426"/>
        </w:tabs>
        <w:spacing w:line="360" w:lineRule="auto"/>
        <w:ind w:firstLine="420" w:firstLineChars="200"/>
        <w:rPr>
          <w:rFonts w:ascii="宋体" w:hAnsi="宋体" w:cs="宋体"/>
          <w:szCs w:val="21"/>
        </w:rPr>
      </w:pPr>
      <w:r>
        <w:rPr>
          <w:rFonts w:hint="eastAsia" w:ascii="宋体" w:hAnsi="宋体" w:cs="宋体"/>
          <w:szCs w:val="21"/>
        </w:rPr>
        <w:t>1.</w:t>
      </w:r>
      <w:r>
        <w:rPr>
          <w:rFonts w:hint="eastAsia" w:ascii="宋体" w:hAnsi="宋体" w:cs="宋体"/>
          <w:szCs w:val="21"/>
          <w:u w:val="single"/>
        </w:rPr>
        <w:t>（供应商名称、供应商名称）</w:t>
      </w:r>
      <w:r>
        <w:rPr>
          <w:rFonts w:hint="eastAsia" w:ascii="宋体" w:hAnsi="宋体" w:cs="宋体"/>
          <w:szCs w:val="21"/>
        </w:rPr>
        <w:t>共同组成联合体（详见联合体协议）。根据《工业和信息化部、国家统计局、国家发展和改革委员会、财政部关于印发中小企业划型标准规定的通知》（工信部联企业〔2011〕300</w:t>
      </w:r>
      <w:r>
        <w:rPr>
          <w:rFonts w:hint="eastAsia" w:ascii="宋体" w:hAnsi="宋体" w:cs="宋体"/>
          <w:szCs w:val="21"/>
          <w:u w:val="single"/>
        </w:rPr>
        <w:t>_</w:t>
      </w:r>
      <w:r>
        <w:rPr>
          <w:rFonts w:hint="eastAsia" w:ascii="宋体" w:hAnsi="宋体" w:cs="宋体"/>
          <w:szCs w:val="21"/>
        </w:rPr>
        <w:t>号）规定的划分标准，本联合体中：□</w:t>
      </w:r>
      <w:r>
        <w:rPr>
          <w:rFonts w:hint="eastAsia" w:ascii="宋体" w:hAnsi="宋体" w:cs="宋体"/>
          <w:szCs w:val="21"/>
          <w:u w:val="single"/>
        </w:rPr>
        <w:t>______</w:t>
      </w:r>
      <w:r>
        <w:rPr>
          <w:rFonts w:hint="eastAsia" w:ascii="宋体" w:hAnsi="宋体" w:cs="宋体"/>
          <w:szCs w:val="21"/>
        </w:rPr>
        <w:t>单位为</w:t>
      </w:r>
      <w:r>
        <w:rPr>
          <w:rFonts w:hint="eastAsia" w:ascii="宋体" w:hAnsi="宋体" w:cs="宋体"/>
          <w:szCs w:val="21"/>
          <w:u w:val="single"/>
        </w:rPr>
        <w:t>______</w:t>
      </w:r>
      <w:r>
        <w:rPr>
          <w:rFonts w:hint="eastAsia" w:ascii="宋体" w:hAnsi="宋体" w:cs="宋体"/>
          <w:szCs w:val="21"/>
        </w:rPr>
        <w:t>（请填写：中型、小型、微型）企业，</w:t>
      </w:r>
      <w:r>
        <w:rPr>
          <w:rFonts w:hint="eastAsia" w:ascii="宋体" w:hAnsi="宋体" w:cs="宋体"/>
          <w:szCs w:val="21"/>
          <w:u w:val="single"/>
        </w:rPr>
        <w:t>______</w:t>
      </w:r>
      <w:r>
        <w:rPr>
          <w:rFonts w:hint="eastAsia" w:ascii="宋体" w:hAnsi="宋体" w:cs="宋体"/>
          <w:szCs w:val="21"/>
        </w:rPr>
        <w:t>单位为</w:t>
      </w:r>
      <w:r>
        <w:rPr>
          <w:rFonts w:hint="eastAsia" w:ascii="宋体" w:hAnsi="宋体" w:cs="宋体"/>
          <w:szCs w:val="21"/>
          <w:u w:val="single"/>
        </w:rPr>
        <w:t>______</w:t>
      </w:r>
      <w:r>
        <w:rPr>
          <w:rFonts w:hint="eastAsia" w:ascii="宋体" w:hAnsi="宋体" w:cs="宋体"/>
          <w:szCs w:val="21"/>
        </w:rPr>
        <w:t>（请填写：中型、小型、微型）企业；☑联合体各方均为小微企业（承诺人在□处打√）。</w:t>
      </w:r>
    </w:p>
    <w:p w14:paraId="113A1A53">
      <w:pPr>
        <w:tabs>
          <w:tab w:val="left" w:pos="426"/>
        </w:tabs>
        <w:spacing w:line="360" w:lineRule="auto"/>
        <w:ind w:firstLine="420" w:firstLineChars="200"/>
        <w:rPr>
          <w:rFonts w:ascii="宋体" w:hAnsi="宋体" w:cs="宋体"/>
          <w:szCs w:val="21"/>
        </w:rPr>
      </w:pPr>
      <w:r>
        <w:rPr>
          <w:rFonts w:hint="eastAsia" w:ascii="宋体" w:hAnsi="宋体" w:cs="宋体"/>
          <w:szCs w:val="21"/>
        </w:rPr>
        <w:t>2.本联合体参加</w:t>
      </w:r>
      <w:r>
        <w:rPr>
          <w:rFonts w:hint="eastAsia" w:ascii="宋体" w:hAnsi="宋体" w:cs="宋体"/>
          <w:szCs w:val="21"/>
          <w:u w:val="single"/>
        </w:rPr>
        <w:t>（采购单位名称</w:t>
      </w:r>
      <w:r>
        <w:rPr>
          <w:rFonts w:hint="eastAsia" w:ascii="宋体" w:hAnsi="宋体" w:cs="宋体"/>
          <w:szCs w:val="21"/>
        </w:rPr>
        <w:t>）单位的</w:t>
      </w:r>
      <w:r>
        <w:rPr>
          <w:rFonts w:hint="eastAsia" w:ascii="宋体" w:hAnsi="宋体" w:cs="宋体"/>
          <w:szCs w:val="21"/>
          <w:u w:val="single"/>
        </w:rPr>
        <w:t>（采购项目名称）</w:t>
      </w:r>
      <w:r>
        <w:rPr>
          <w:rFonts w:hint="eastAsia" w:ascii="宋体" w:hAnsi="宋体" w:cs="宋体"/>
          <w:szCs w:val="21"/>
        </w:rPr>
        <w:t>项目采购活动，其中，小型、微型企业协议合同金额占到联合体协议总金额比例为</w:t>
      </w:r>
      <w:r>
        <w:rPr>
          <w:rFonts w:hint="eastAsia" w:ascii="宋体" w:hAnsi="宋体" w:cs="宋体"/>
          <w:szCs w:val="21"/>
          <w:u w:val="single"/>
        </w:rPr>
        <w:t>_____</w:t>
      </w:r>
      <w:r>
        <w:rPr>
          <w:rFonts w:hint="eastAsia" w:ascii="宋体" w:hAnsi="宋体" w:cs="宋体"/>
          <w:szCs w:val="21"/>
        </w:rPr>
        <w:t>%（该合同金额为：   小微企业承担的工程），符合《政府采购促进中小企业发展暂行办法》(财库〔2011〕181</w:t>
      </w:r>
      <w:r>
        <w:rPr>
          <w:rFonts w:hint="eastAsia" w:ascii="宋体" w:hAnsi="宋体" w:cs="宋体"/>
          <w:szCs w:val="21"/>
          <w:u w:val="single"/>
        </w:rPr>
        <w:t>_</w:t>
      </w:r>
      <w:r>
        <w:rPr>
          <w:rFonts w:hint="eastAsia" w:ascii="宋体" w:hAnsi="宋体" w:cs="宋体"/>
          <w:szCs w:val="21"/>
        </w:rPr>
        <w:t>号)第六条规定的优惠政策。本联合体对上述声明的真实性负责。如有虚假，将依法承担相应责任。</w:t>
      </w:r>
    </w:p>
    <w:p w14:paraId="28CBF85E">
      <w:pPr>
        <w:tabs>
          <w:tab w:val="left" w:pos="426"/>
        </w:tabs>
        <w:spacing w:line="360" w:lineRule="auto"/>
        <w:ind w:left="424" w:leftChars="202" w:firstLine="420"/>
        <w:jc w:val="left"/>
        <w:rPr>
          <w:rFonts w:ascii="宋体" w:hAnsi="宋体" w:cs="宋体"/>
          <w:szCs w:val="21"/>
        </w:rPr>
      </w:pPr>
      <w:r>
        <w:rPr>
          <w:rFonts w:hint="eastAsia" w:ascii="宋体" w:hAnsi="宋体" w:cs="宋体"/>
          <w:szCs w:val="21"/>
        </w:rPr>
        <w:t>企业1名称（盖章）：</w:t>
      </w:r>
      <w:r>
        <w:rPr>
          <w:rFonts w:hint="eastAsia" w:ascii="宋体" w:hAnsi="宋体" w:cs="宋体"/>
          <w:szCs w:val="21"/>
          <w:u w:val="single"/>
        </w:rPr>
        <w:t>_______________________</w:t>
      </w:r>
      <w:r>
        <w:rPr>
          <w:rFonts w:hint="eastAsia" w:ascii="宋体" w:hAnsi="宋体" w:cs="宋体"/>
          <w:szCs w:val="21"/>
        </w:rPr>
        <w:t xml:space="preserve"> </w:t>
      </w:r>
    </w:p>
    <w:p w14:paraId="53EC4622">
      <w:pPr>
        <w:tabs>
          <w:tab w:val="left" w:pos="426"/>
        </w:tabs>
        <w:spacing w:line="360" w:lineRule="auto"/>
        <w:ind w:left="424" w:leftChars="202" w:firstLine="420"/>
        <w:jc w:val="left"/>
        <w:rPr>
          <w:rFonts w:ascii="宋体" w:hAnsi="宋体" w:cs="宋体"/>
          <w:szCs w:val="21"/>
        </w:rPr>
      </w:pPr>
      <w:r>
        <w:rPr>
          <w:rFonts w:hint="eastAsia" w:ascii="宋体" w:hAnsi="宋体" w:cs="宋体"/>
          <w:szCs w:val="21"/>
        </w:rPr>
        <w:t>日期：</w:t>
      </w:r>
      <w:r>
        <w:rPr>
          <w:rFonts w:hint="eastAsia" w:ascii="宋体" w:hAnsi="宋体" w:cs="宋体"/>
          <w:szCs w:val="21"/>
          <w:u w:val="single"/>
        </w:rPr>
        <w:t>_____________________________________</w:t>
      </w:r>
      <w:r>
        <w:rPr>
          <w:rFonts w:hint="eastAsia" w:ascii="宋体" w:hAnsi="宋体" w:cs="宋体"/>
          <w:szCs w:val="21"/>
        </w:rPr>
        <w:t xml:space="preserve"> </w:t>
      </w:r>
    </w:p>
    <w:p w14:paraId="20D4357D">
      <w:pPr>
        <w:tabs>
          <w:tab w:val="left" w:pos="426"/>
        </w:tabs>
        <w:spacing w:line="360" w:lineRule="auto"/>
        <w:ind w:left="424" w:leftChars="202" w:firstLine="420"/>
        <w:jc w:val="left"/>
        <w:rPr>
          <w:rFonts w:ascii="宋体" w:hAnsi="宋体" w:cs="宋体"/>
          <w:szCs w:val="21"/>
        </w:rPr>
      </w:pPr>
      <w:r>
        <w:rPr>
          <w:rFonts w:hint="eastAsia" w:ascii="宋体" w:hAnsi="宋体" w:cs="宋体"/>
          <w:szCs w:val="21"/>
        </w:rPr>
        <w:t>企业2名称（盖章）：</w:t>
      </w:r>
      <w:r>
        <w:rPr>
          <w:rFonts w:hint="eastAsia" w:ascii="宋体" w:hAnsi="宋体" w:cs="宋体"/>
          <w:szCs w:val="21"/>
          <w:u w:val="single"/>
        </w:rPr>
        <w:t>_______________________</w:t>
      </w:r>
    </w:p>
    <w:p w14:paraId="314FA323">
      <w:pPr>
        <w:spacing w:line="360" w:lineRule="auto"/>
        <w:ind w:left="424" w:leftChars="202" w:firstLine="420"/>
        <w:rPr>
          <w:rFonts w:ascii="宋体" w:hAnsi="宋体" w:cs="宋体"/>
          <w:szCs w:val="21"/>
        </w:rPr>
      </w:pPr>
      <w:r>
        <w:rPr>
          <w:rFonts w:hint="eastAsia" w:ascii="宋体" w:hAnsi="宋体" w:cs="宋体"/>
          <w:szCs w:val="21"/>
        </w:rPr>
        <w:t>日期：</w:t>
      </w:r>
      <w:r>
        <w:rPr>
          <w:rFonts w:hint="eastAsia" w:ascii="宋体" w:hAnsi="宋体" w:cs="宋体"/>
          <w:szCs w:val="21"/>
          <w:u w:val="single"/>
        </w:rPr>
        <w:t>_____________________________________</w:t>
      </w:r>
    </w:p>
    <w:p w14:paraId="7FA882D0">
      <w:pPr>
        <w:pStyle w:val="374"/>
        <w:spacing w:before="0" w:beforeAutospacing="0" w:after="0" w:afterAutospacing="0" w:line="360" w:lineRule="auto"/>
        <w:ind w:right="1560" w:firstLine="624"/>
        <w:jc w:val="right"/>
        <w:rPr>
          <w:rStyle w:val="375"/>
          <w:rFonts w:ascii="宋体" w:hAnsi="宋体" w:cs="宋体"/>
          <w:szCs w:val="21"/>
        </w:rPr>
      </w:pPr>
    </w:p>
    <w:p w14:paraId="1644D2F6">
      <w:pPr>
        <w:ind w:left="-2" w:leftChars="-1" w:firstLine="420" w:firstLineChars="200"/>
      </w:pPr>
      <w:r>
        <w:br w:type="page"/>
      </w:r>
      <w:bookmarkStart w:id="256" w:name="_Toc151802153"/>
      <w:r>
        <w:t>2.</w:t>
      </w:r>
      <w:r>
        <w:rPr>
          <w:rFonts w:hint="eastAsia"/>
        </w:rPr>
        <w:t>政府采购及履约承诺函</w:t>
      </w:r>
      <w:bookmarkEnd w:id="256"/>
    </w:p>
    <w:p w14:paraId="04E7B0F8">
      <w:pPr>
        <w:jc w:val="center"/>
      </w:pPr>
    </w:p>
    <w:p w14:paraId="6963CEC7">
      <w:pPr>
        <w:jc w:val="center"/>
      </w:pPr>
      <w:r>
        <w:rPr>
          <w:rFonts w:hint="eastAsia"/>
          <w:b/>
          <w:sz w:val="24"/>
        </w:rPr>
        <w:t>政府采购及履约承诺函</w:t>
      </w:r>
    </w:p>
    <w:p w14:paraId="4F551829">
      <w:pPr>
        <w:tabs>
          <w:tab w:val="left" w:pos="0"/>
        </w:tabs>
        <w:spacing w:beforeLines="15" w:afterLines="15" w:line="440" w:lineRule="exact"/>
        <w:ind w:right="-693" w:rightChars="-330"/>
        <w:rPr>
          <w:rFonts w:ascii="宋体" w:hAnsi="宋体" w:cs="宋体"/>
          <w:sz w:val="24"/>
        </w:rPr>
      </w:pPr>
    </w:p>
    <w:p w14:paraId="21AD94EF">
      <w:pPr>
        <w:widowControl/>
        <w:shd w:val="clear" w:color="auto" w:fill="FFFFFF"/>
        <w:adjustRightInd w:val="0"/>
        <w:snapToGrid w:val="0"/>
        <w:spacing w:line="360" w:lineRule="auto"/>
        <w:rPr>
          <w:rFonts w:ascii="Times New Roman" w:hAnsi="Times New Roman"/>
          <w:kern w:val="0"/>
        </w:rPr>
      </w:pPr>
      <w:r>
        <w:rPr>
          <w:rFonts w:hint="eastAsia" w:ascii="Times New Roman" w:hAnsi="Times New Roman"/>
          <w:kern w:val="0"/>
        </w:rPr>
        <w:t>致：深圳市深水水务咨询有限公司：</w:t>
      </w:r>
    </w:p>
    <w:p w14:paraId="4C150C29">
      <w:pPr>
        <w:widowControl/>
        <w:shd w:val="clear" w:color="auto" w:fill="FFFFFF"/>
        <w:adjustRightInd w:val="0"/>
        <w:snapToGrid w:val="0"/>
        <w:spacing w:line="360" w:lineRule="auto"/>
        <w:ind w:firstLine="424" w:firstLineChars="202"/>
        <w:rPr>
          <w:rFonts w:ascii="Times New Roman" w:hAnsi="Times New Roman"/>
          <w:kern w:val="0"/>
        </w:rPr>
      </w:pPr>
      <w:r>
        <w:rPr>
          <w:rFonts w:hint="eastAsia" w:ascii="Times New Roman" w:hAnsi="Times New Roman"/>
          <w:kern w:val="0"/>
        </w:rPr>
        <w:t>关于贵公司发布</w:t>
      </w:r>
      <w:r>
        <w:rPr>
          <w:rFonts w:hint="eastAsia" w:ascii="Times New Roman" w:hAnsi="Times New Roman"/>
          <w:kern w:val="0"/>
          <w:szCs w:val="21"/>
          <w:u w:val="single"/>
        </w:rPr>
        <w:t>（项目名称</w:t>
      </w:r>
      <w:r>
        <w:rPr>
          <w:rFonts w:ascii="Times New Roman" w:hAnsi="Times New Roman"/>
          <w:kern w:val="0"/>
          <w:szCs w:val="21"/>
          <w:u w:val="single"/>
        </w:rPr>
        <w:t xml:space="preserve">) </w:t>
      </w:r>
      <w:r>
        <w:rPr>
          <w:rFonts w:hint="eastAsia" w:ascii="Times New Roman" w:hAnsi="Times New Roman"/>
          <w:kern w:val="0"/>
        </w:rPr>
        <w:t>项目（采购项目编号：</w:t>
      </w:r>
      <w:r>
        <w:rPr>
          <w:rFonts w:hint="eastAsia" w:ascii="Times New Roman" w:hAnsi="Times New Roman"/>
          <w:kern w:val="0"/>
          <w:u w:val="single"/>
        </w:rPr>
        <w:t>（采购项目编号）</w:t>
      </w:r>
      <w:r>
        <w:rPr>
          <w:rFonts w:hint="eastAsia" w:ascii="Times New Roman" w:hAnsi="Times New Roman"/>
          <w:kern w:val="0"/>
        </w:rPr>
        <w:t>）的竞争性磋商公告，本公司（企业）愿意参加磋商，并声明：</w:t>
      </w:r>
    </w:p>
    <w:p w14:paraId="6A317B36">
      <w:pPr>
        <w:widowControl/>
        <w:shd w:val="clear" w:color="auto" w:fill="FFFFFF"/>
        <w:adjustRightInd w:val="0"/>
        <w:snapToGrid w:val="0"/>
        <w:spacing w:line="360" w:lineRule="auto"/>
        <w:ind w:firstLine="424" w:firstLineChars="202"/>
        <w:rPr>
          <w:rFonts w:ascii="宋体" w:hAnsi="Times New Roman" w:cs="宋体"/>
          <w:kern w:val="0"/>
        </w:rPr>
      </w:pPr>
      <w:r>
        <w:rPr>
          <w:rFonts w:hint="eastAsia" w:ascii="宋体" w:hAnsi="Times New Roman" w:cs="宋体"/>
          <w:kern w:val="0"/>
        </w:rPr>
        <w:t>我单位承诺：</w:t>
      </w:r>
    </w:p>
    <w:p w14:paraId="36BCA8FF">
      <w:pPr>
        <w:widowControl/>
        <w:shd w:val="clear" w:color="auto" w:fill="FFFFFF"/>
        <w:adjustRightInd w:val="0"/>
        <w:snapToGrid w:val="0"/>
        <w:spacing w:line="360" w:lineRule="auto"/>
        <w:ind w:firstLine="424" w:firstLineChars="202"/>
        <w:rPr>
          <w:rFonts w:ascii="宋体" w:hAnsi="Times New Roman" w:cs="宋体"/>
          <w:kern w:val="0"/>
        </w:rPr>
      </w:pPr>
      <w:r>
        <w:rPr>
          <w:rFonts w:hint="eastAsia" w:ascii="宋体" w:hAnsi="Times New Roman" w:cs="宋体"/>
          <w:kern w:val="0"/>
        </w:rPr>
        <w:t>1.我单位参与本项目所响应的货物、工程或服务，不存在侵犯知识产权的情况；已知悉并同意中标（成交）结果信息公示（公开）的内容。</w:t>
      </w:r>
    </w:p>
    <w:p w14:paraId="3582C97E">
      <w:pPr>
        <w:widowControl/>
        <w:shd w:val="clear" w:color="auto" w:fill="FFFFFF"/>
        <w:adjustRightInd w:val="0"/>
        <w:snapToGrid w:val="0"/>
        <w:spacing w:line="360" w:lineRule="auto"/>
        <w:ind w:firstLine="424" w:firstLineChars="202"/>
        <w:rPr>
          <w:rFonts w:ascii="宋体" w:hAnsi="Times New Roman" w:cs="宋体"/>
          <w:kern w:val="0"/>
        </w:rPr>
      </w:pPr>
      <w:r>
        <w:rPr>
          <w:rFonts w:hint="eastAsia" w:ascii="宋体" w:hAnsi="Times New Roman" w:cs="宋体"/>
          <w:kern w:val="0"/>
        </w:rPr>
        <w:t>2.我单位参与该项目，符合竞争性磋商文件关于联合体及进口产品的相关资格要求。</w:t>
      </w:r>
    </w:p>
    <w:p w14:paraId="4E9A4E28">
      <w:pPr>
        <w:widowControl/>
        <w:shd w:val="clear" w:color="auto" w:fill="FFFFFF"/>
        <w:adjustRightInd w:val="0"/>
        <w:snapToGrid w:val="0"/>
        <w:spacing w:line="360" w:lineRule="auto"/>
        <w:ind w:firstLine="424" w:firstLineChars="202"/>
        <w:rPr>
          <w:rFonts w:ascii="宋体" w:hAnsi="Times New Roman" w:cs="宋体"/>
          <w:kern w:val="0"/>
        </w:rPr>
      </w:pPr>
      <w:r>
        <w:rPr>
          <w:rFonts w:hint="eastAsia" w:ascii="宋体" w:hAnsi="Times New Roman" w:cs="宋体"/>
          <w:kern w:val="0"/>
        </w:rPr>
        <w:t>3.我单位参与本项目政府采购活动时不存在被有关部门禁止参与政府采购活动且在有效期内的情况。</w:t>
      </w:r>
    </w:p>
    <w:p w14:paraId="667CCFD6">
      <w:pPr>
        <w:widowControl/>
        <w:shd w:val="clear" w:color="auto" w:fill="FFFFFF"/>
        <w:adjustRightInd w:val="0"/>
        <w:snapToGrid w:val="0"/>
        <w:spacing w:line="360" w:lineRule="auto"/>
        <w:ind w:firstLine="424" w:firstLineChars="202"/>
        <w:rPr>
          <w:rFonts w:ascii="宋体" w:hAnsi="Times New Roman" w:cs="宋体"/>
          <w:kern w:val="0"/>
        </w:rPr>
      </w:pPr>
      <w:r>
        <w:rPr>
          <w:rFonts w:ascii="宋体" w:hAnsi="Times New Roman" w:cs="宋体"/>
          <w:kern w:val="0"/>
        </w:rPr>
        <w:t>4.</w:t>
      </w:r>
      <w:r>
        <w:rPr>
          <w:rFonts w:hint="eastAsia" w:ascii="宋体" w:hAnsi="Times New Roman" w:cs="宋体"/>
          <w:kern w:val="0"/>
        </w:rPr>
        <w:t>我单位参与本项目磋商前三年内，在经营活动中没有重大违法记录。</w:t>
      </w:r>
    </w:p>
    <w:p w14:paraId="06860E54">
      <w:pPr>
        <w:widowControl/>
        <w:shd w:val="clear" w:color="auto" w:fill="FFFFFF"/>
        <w:adjustRightInd w:val="0"/>
        <w:snapToGrid w:val="0"/>
        <w:spacing w:line="360" w:lineRule="auto"/>
        <w:ind w:firstLine="424" w:firstLineChars="202"/>
        <w:rPr>
          <w:rFonts w:ascii="宋体" w:hAnsi="Times New Roman" w:cs="宋体"/>
          <w:kern w:val="0"/>
        </w:rPr>
      </w:pPr>
      <w:r>
        <w:rPr>
          <w:rFonts w:ascii="宋体" w:hAnsi="Times New Roman" w:cs="宋体"/>
          <w:kern w:val="0"/>
        </w:rPr>
        <w:t>5</w:t>
      </w:r>
      <w:r>
        <w:rPr>
          <w:rFonts w:hint="eastAsia" w:ascii="宋体" w:hAnsi="Times New Roman" w:cs="宋体"/>
          <w:kern w:val="0"/>
        </w:rPr>
        <w:t>.我单位具备《中华人民共和国政府采购法》第二十二条第一款的条件。</w:t>
      </w:r>
    </w:p>
    <w:p w14:paraId="55481B65">
      <w:pPr>
        <w:widowControl/>
        <w:shd w:val="clear" w:color="auto" w:fill="FFFFFF"/>
        <w:adjustRightInd w:val="0"/>
        <w:snapToGrid w:val="0"/>
        <w:spacing w:line="360" w:lineRule="auto"/>
        <w:ind w:firstLine="424" w:firstLineChars="202"/>
        <w:rPr>
          <w:rFonts w:ascii="宋体" w:hAnsi="Times New Roman" w:cs="宋体"/>
          <w:kern w:val="0"/>
        </w:rPr>
      </w:pPr>
      <w:r>
        <w:rPr>
          <w:rFonts w:ascii="宋体" w:hAnsi="Times New Roman" w:cs="宋体"/>
          <w:kern w:val="0"/>
        </w:rPr>
        <w:t>6</w:t>
      </w:r>
      <w:r>
        <w:rPr>
          <w:rFonts w:hint="eastAsia" w:ascii="宋体" w:hAnsi="Times New Roman" w:cs="宋体"/>
          <w:kern w:val="0"/>
        </w:rPr>
        <w:t>.我单位未被列入失信被执行人、重大税收违法案件当事人名单（重大税收违法失信主体）、政府采购严重违法失信行为记录名单</w:t>
      </w:r>
    </w:p>
    <w:p w14:paraId="0C4D9A8A">
      <w:pPr>
        <w:widowControl/>
        <w:shd w:val="clear" w:color="auto" w:fill="FFFFFF"/>
        <w:adjustRightInd w:val="0"/>
        <w:snapToGrid w:val="0"/>
        <w:spacing w:line="360" w:lineRule="auto"/>
        <w:ind w:firstLine="424" w:firstLineChars="202"/>
        <w:rPr>
          <w:rFonts w:ascii="宋体" w:hAnsi="Times New Roman" w:cs="宋体"/>
          <w:kern w:val="0"/>
        </w:rPr>
      </w:pPr>
      <w:r>
        <w:rPr>
          <w:rFonts w:ascii="宋体" w:hAnsi="Times New Roman" w:cs="宋体"/>
          <w:kern w:val="0"/>
        </w:rPr>
        <w:t>7</w:t>
      </w:r>
      <w:r>
        <w:rPr>
          <w:rFonts w:hint="eastAsia" w:ascii="宋体" w:hAnsi="Times New Roman" w:cs="宋体"/>
          <w:kern w:val="0"/>
        </w:rPr>
        <w:t>.我单位参与该项目，严格遵守政府采购相关法律，不造假，不围标、串标、陪标。我单位已清楚，如违反上述要求，将作无效处理，被列入不良记录名单并在网上曝光，同时将被提请政府采购主管部门给予一定年限内禁止参与政府采购活动或其他处罚。</w:t>
      </w:r>
    </w:p>
    <w:p w14:paraId="35E1D3FA">
      <w:pPr>
        <w:widowControl/>
        <w:shd w:val="clear" w:color="auto" w:fill="FFFFFF"/>
        <w:adjustRightInd w:val="0"/>
        <w:snapToGrid w:val="0"/>
        <w:spacing w:line="360" w:lineRule="auto"/>
        <w:ind w:firstLine="424" w:firstLineChars="202"/>
        <w:rPr>
          <w:rFonts w:ascii="宋体" w:hAnsi="Times New Roman" w:cs="宋体"/>
          <w:kern w:val="0"/>
        </w:rPr>
      </w:pPr>
      <w:r>
        <w:rPr>
          <w:rFonts w:ascii="宋体" w:hAnsi="Times New Roman" w:cs="宋体"/>
          <w:kern w:val="0"/>
        </w:rPr>
        <w:t>8</w:t>
      </w:r>
      <w:r>
        <w:rPr>
          <w:rFonts w:hint="eastAsia" w:ascii="宋体" w:hAnsi="Times New Roman" w:cs="宋体"/>
          <w:kern w:val="0"/>
        </w:rPr>
        <w:t>.我单位如果中标（成交），做到守信，不偷工减料，依照本项目竞争性磋商文件需求内容、签署的采购合同及本单位在磋商中所作的一切承诺履约。我单位对本项目的报价负责，中标（成交）后将严格按照本项目竞争性磋商文件需求、签署的采购合同及我单位磋商中所作的全部承诺履行。</w:t>
      </w:r>
    </w:p>
    <w:p w14:paraId="773B14EB">
      <w:pPr>
        <w:widowControl/>
        <w:shd w:val="clear" w:color="auto" w:fill="FFFFFF"/>
        <w:adjustRightInd w:val="0"/>
        <w:snapToGrid w:val="0"/>
        <w:spacing w:line="360" w:lineRule="auto"/>
        <w:ind w:firstLine="424" w:firstLineChars="202"/>
        <w:rPr>
          <w:rFonts w:ascii="宋体" w:hAnsi="Times New Roman" w:cs="宋体"/>
          <w:kern w:val="0"/>
        </w:rPr>
      </w:pPr>
      <w:r>
        <w:rPr>
          <w:rFonts w:hint="eastAsia" w:ascii="宋体" w:hAnsi="Times New Roman" w:cs="宋体"/>
          <w:kern w:val="0"/>
        </w:rPr>
        <w:t>我单位清楚，若以“报价太低而无法履约”为理由放弃本项目中标（成交）资格时，愿意接受主管部门的处理处罚。若我单位中标（成交）本项目，我单位的报价明显低于其他供应商的报价时，我单位清楚，本项目将成为重点监管、重点验收项目，我单位将按时保质保量完成，并全力配合有关监管、验收工作；若我单位未按上述要求履约，我单位愿意接受主管部门的处理处罚。</w:t>
      </w:r>
    </w:p>
    <w:p w14:paraId="13A96181">
      <w:pPr>
        <w:widowControl/>
        <w:shd w:val="clear" w:color="auto" w:fill="FFFFFF"/>
        <w:adjustRightInd w:val="0"/>
        <w:snapToGrid w:val="0"/>
        <w:spacing w:line="360" w:lineRule="auto"/>
        <w:ind w:firstLine="424" w:firstLineChars="202"/>
        <w:rPr>
          <w:rFonts w:ascii="宋体" w:hAnsi="Times New Roman" w:cs="宋体"/>
          <w:kern w:val="0"/>
        </w:rPr>
      </w:pPr>
      <w:r>
        <w:rPr>
          <w:rFonts w:ascii="宋体" w:hAnsi="Times New Roman" w:cs="宋体"/>
          <w:kern w:val="0"/>
        </w:rPr>
        <w:t>9</w:t>
      </w:r>
      <w:r>
        <w:rPr>
          <w:rFonts w:hint="eastAsia" w:ascii="宋体" w:hAnsi="Times New Roman" w:cs="宋体"/>
          <w:kern w:val="0"/>
        </w:rPr>
        <w:t>.我单位已认真核实了响应文件的全部内容，所有资料均为真实资料。我单位对响应文件中全部磋商资料的真实性负责，如被证实我单位的响应文件中存在虚假资料的，则视为我单位隐瞒真实情况、提供虚假资料，我单位愿意接受主管部门作出的行政处罚。</w:t>
      </w:r>
    </w:p>
    <w:p w14:paraId="7479A599">
      <w:pPr>
        <w:widowControl/>
        <w:shd w:val="clear" w:color="auto" w:fill="FFFFFF"/>
        <w:adjustRightInd w:val="0"/>
        <w:snapToGrid w:val="0"/>
        <w:spacing w:line="360" w:lineRule="auto"/>
        <w:ind w:firstLine="424" w:firstLineChars="202"/>
        <w:rPr>
          <w:rFonts w:ascii="宋体" w:hAnsi="Times New Roman" w:cs="宋体"/>
          <w:kern w:val="0"/>
        </w:rPr>
      </w:pPr>
      <w:r>
        <w:rPr>
          <w:rFonts w:ascii="宋体" w:hAnsi="Times New Roman" w:cs="宋体"/>
          <w:kern w:val="0"/>
        </w:rPr>
        <w:t>10</w:t>
      </w:r>
      <w:r>
        <w:rPr>
          <w:rFonts w:hint="eastAsia" w:ascii="宋体" w:hAnsi="Times New Roman" w:cs="宋体"/>
          <w:kern w:val="0"/>
        </w:rPr>
        <w:t>.我单位承诺中标（成交）后项目不转包，未经采购人同意不进行分包。</w:t>
      </w:r>
    </w:p>
    <w:p w14:paraId="169949DC">
      <w:pPr>
        <w:widowControl/>
        <w:shd w:val="clear" w:color="auto" w:fill="FFFFFF"/>
        <w:adjustRightInd w:val="0"/>
        <w:snapToGrid w:val="0"/>
        <w:spacing w:line="360" w:lineRule="auto"/>
        <w:ind w:firstLine="424" w:firstLineChars="202"/>
        <w:rPr>
          <w:rFonts w:ascii="宋体" w:hAnsi="Times New Roman" w:cs="宋体"/>
          <w:kern w:val="0"/>
        </w:rPr>
      </w:pPr>
      <w:r>
        <w:rPr>
          <w:rFonts w:ascii="宋体" w:hAnsi="Times New Roman" w:cs="宋体"/>
          <w:kern w:val="0"/>
        </w:rPr>
        <w:t>11</w:t>
      </w:r>
      <w:r>
        <w:rPr>
          <w:rFonts w:hint="eastAsia" w:ascii="宋体" w:hAnsi="Times New Roman" w:cs="宋体"/>
          <w:kern w:val="0"/>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14:paraId="2FA99CEA">
      <w:pPr>
        <w:widowControl/>
        <w:shd w:val="clear" w:color="auto" w:fill="FFFFFF"/>
        <w:adjustRightInd w:val="0"/>
        <w:snapToGrid w:val="0"/>
        <w:spacing w:line="360" w:lineRule="auto"/>
        <w:ind w:firstLine="424" w:firstLineChars="202"/>
        <w:rPr>
          <w:rFonts w:ascii="宋体" w:hAnsi="Times New Roman" w:cs="宋体"/>
          <w:kern w:val="0"/>
        </w:rPr>
      </w:pPr>
      <w:r>
        <w:rPr>
          <w:rFonts w:ascii="宋体" w:hAnsi="Times New Roman" w:cs="宋体"/>
          <w:kern w:val="0"/>
        </w:rPr>
        <w:t>12</w:t>
      </w:r>
      <w:r>
        <w:rPr>
          <w:rFonts w:hint="eastAsia" w:ascii="宋体" w:hAnsi="Times New Roman" w:cs="宋体"/>
          <w:kern w:val="0"/>
        </w:rPr>
        <w:t>.我单位保证，若所投货物涉及《财政部生态环境部关于印发节能产品政府采购品目清单的通知》（财库〔2019〕19号）列明的政府采购强制产品，则所投该产品符合节能产品的认证要求。</w:t>
      </w:r>
    </w:p>
    <w:p w14:paraId="74DBC92E">
      <w:pPr>
        <w:widowControl/>
        <w:shd w:val="clear" w:color="auto" w:fill="FFFFFF"/>
        <w:adjustRightInd w:val="0"/>
        <w:snapToGrid w:val="0"/>
        <w:spacing w:line="360" w:lineRule="auto"/>
        <w:ind w:firstLine="424" w:firstLineChars="202"/>
        <w:rPr>
          <w:rFonts w:ascii="宋体" w:hAnsi="Times New Roman" w:cs="宋体"/>
          <w:kern w:val="0"/>
        </w:rPr>
      </w:pPr>
      <w:r>
        <w:rPr>
          <w:rFonts w:ascii="宋体" w:hAnsi="Times New Roman" w:cs="宋体"/>
          <w:kern w:val="0"/>
        </w:rPr>
        <w:t>13</w:t>
      </w:r>
      <w:r>
        <w:rPr>
          <w:rFonts w:hint="eastAsia" w:ascii="宋体" w:hAnsi="Times New Roman" w:cs="宋体"/>
          <w:kern w:val="0"/>
        </w:rPr>
        <w:t>.我单位保证符合“单位负责人为同一人或者存在直接控股、管理关系的不同供应商，不得参加同一合同项下的政府采购活动；为采购项目提供整体设计、规范编制或者项目管理、监理、检测等服务的供应商，不得再参加该采购项目的其他采购活动”。</w:t>
      </w:r>
    </w:p>
    <w:p w14:paraId="56FA9E74">
      <w:pPr>
        <w:widowControl/>
        <w:shd w:val="clear" w:color="auto" w:fill="FFFFFF"/>
        <w:adjustRightInd w:val="0"/>
        <w:snapToGrid w:val="0"/>
        <w:spacing w:line="360" w:lineRule="auto"/>
        <w:ind w:firstLine="424" w:firstLineChars="202"/>
        <w:rPr>
          <w:rFonts w:ascii="宋体" w:hAnsi="Times New Roman" w:cs="宋体"/>
          <w:kern w:val="0"/>
        </w:rPr>
      </w:pPr>
      <w:r>
        <w:rPr>
          <w:rFonts w:ascii="宋体" w:hAnsi="Times New Roman" w:cs="宋体"/>
          <w:kern w:val="0"/>
        </w:rPr>
        <w:t>14</w:t>
      </w:r>
      <w:r>
        <w:rPr>
          <w:rFonts w:hint="eastAsia" w:ascii="宋体" w:hAnsi="Times New Roman" w:cs="宋体"/>
          <w:kern w:val="0"/>
        </w:rPr>
        <w:t>.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w:t>
      </w:r>
    </w:p>
    <w:p w14:paraId="0D73545E">
      <w:pPr>
        <w:widowControl/>
        <w:shd w:val="clear" w:color="auto" w:fill="FFFFFF"/>
        <w:adjustRightInd w:val="0"/>
        <w:snapToGrid w:val="0"/>
        <w:spacing w:line="360" w:lineRule="auto"/>
        <w:ind w:firstLine="424" w:firstLineChars="202"/>
        <w:rPr>
          <w:rFonts w:ascii="宋体" w:hAnsi="Times New Roman" w:cs="宋体"/>
          <w:kern w:val="0"/>
        </w:rPr>
      </w:pPr>
      <w:r>
        <w:rPr>
          <w:rFonts w:hint="eastAsia" w:ascii="宋体" w:hAnsi="Times New Roman" w:cs="宋体"/>
          <w:kern w:val="0"/>
        </w:rPr>
        <w:t>15.我单位保证不以联合体，不选用进口产品参与磋商，不转包分包。</w:t>
      </w:r>
    </w:p>
    <w:p w14:paraId="1682811C">
      <w:pPr>
        <w:widowControl/>
        <w:shd w:val="clear" w:color="auto" w:fill="FFFFFF"/>
        <w:adjustRightInd w:val="0"/>
        <w:snapToGrid w:val="0"/>
        <w:spacing w:line="360" w:lineRule="auto"/>
        <w:ind w:firstLine="424" w:firstLineChars="202"/>
        <w:rPr>
          <w:rFonts w:ascii="宋体" w:hAnsi="Times New Roman" w:cs="宋体"/>
          <w:kern w:val="0"/>
        </w:rPr>
      </w:pPr>
      <w:r>
        <w:rPr>
          <w:rFonts w:hint="eastAsia" w:ascii="宋体" w:hAnsi="Times New Roman" w:cs="宋体"/>
          <w:kern w:val="0"/>
        </w:rPr>
        <w:t>以上承诺，如有违反，愿依照国家相关法律处理，并承担由此给采购人带来的损失。</w:t>
      </w:r>
    </w:p>
    <w:p w14:paraId="4D9917CC">
      <w:pPr>
        <w:widowControl/>
        <w:shd w:val="clear" w:color="auto" w:fill="FFFFFF"/>
        <w:adjustRightInd w:val="0"/>
        <w:snapToGrid w:val="0"/>
        <w:spacing w:line="360" w:lineRule="auto"/>
        <w:ind w:firstLine="420"/>
        <w:rPr>
          <w:rFonts w:ascii="宋体" w:hAnsi="Times New Roman" w:cs="宋体"/>
          <w:kern w:val="0"/>
        </w:rPr>
      </w:pPr>
      <w:r>
        <w:rPr>
          <w:rFonts w:hint="eastAsia" w:ascii="宋体" w:hAnsi="Times New Roman" w:cs="宋体"/>
          <w:kern w:val="0"/>
        </w:rPr>
        <w:t>特此声明！</w:t>
      </w:r>
    </w:p>
    <w:p w14:paraId="5C336D4C">
      <w:pPr>
        <w:tabs>
          <w:tab w:val="left" w:pos="0"/>
        </w:tabs>
        <w:spacing w:beforeLines="15" w:afterLines="15" w:line="440" w:lineRule="exact"/>
        <w:ind w:right="-693" w:rightChars="-330"/>
        <w:rPr>
          <w:rFonts w:ascii="宋体" w:hAnsi="宋体" w:cs="宋体"/>
          <w:sz w:val="24"/>
        </w:rPr>
      </w:pPr>
    </w:p>
    <w:p w14:paraId="4BACA19D">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单位名称：</w:t>
      </w:r>
      <w:r>
        <w:rPr>
          <w:rFonts w:ascii="宋体" w:hAnsi="Times New Roman" w:cs="宋体"/>
          <w:kern w:val="0"/>
          <w:szCs w:val="21"/>
          <w:u w:val="single"/>
        </w:rPr>
        <w:t>______________________</w:t>
      </w:r>
    </w:p>
    <w:p w14:paraId="7BB82E96">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法定代表人或供应商授权代表（签名或盖章）：</w:t>
      </w:r>
      <w:r>
        <w:rPr>
          <w:rFonts w:ascii="宋体" w:hAnsi="Times New Roman" w:cs="宋体"/>
          <w:kern w:val="0"/>
          <w:szCs w:val="21"/>
          <w:u w:val="single"/>
        </w:rPr>
        <w:t>______________________</w:t>
      </w:r>
    </w:p>
    <w:p w14:paraId="0C3B7785">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单位地址：</w:t>
      </w:r>
      <w:r>
        <w:rPr>
          <w:rFonts w:ascii="宋体" w:hAnsi="Times New Roman" w:cs="宋体"/>
          <w:kern w:val="0"/>
          <w:szCs w:val="21"/>
          <w:u w:val="single"/>
        </w:rPr>
        <w:t>______________________</w:t>
      </w:r>
    </w:p>
    <w:p w14:paraId="4D422C8D">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单位公章：</w:t>
      </w:r>
      <w:r>
        <w:rPr>
          <w:rFonts w:ascii="宋体" w:hAnsi="Times New Roman" w:cs="宋体"/>
          <w:kern w:val="0"/>
          <w:szCs w:val="21"/>
          <w:u w:val="single"/>
        </w:rPr>
        <w:t>______________________</w:t>
      </w:r>
    </w:p>
    <w:p w14:paraId="25C995E9">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邮政编码：</w:t>
      </w:r>
      <w:r>
        <w:rPr>
          <w:rFonts w:ascii="宋体" w:hAnsi="Times New Roman" w:cs="宋体"/>
          <w:kern w:val="0"/>
          <w:szCs w:val="21"/>
          <w:u w:val="single"/>
        </w:rPr>
        <w:t>______________________</w:t>
      </w:r>
      <w:r>
        <w:rPr>
          <w:rFonts w:hint="eastAsia" w:ascii="宋体" w:hAnsi="Times New Roman" w:cs="宋体"/>
          <w:kern w:val="0"/>
        </w:rPr>
        <w:t>日期：</w:t>
      </w:r>
      <w:r>
        <w:rPr>
          <w:rFonts w:ascii="宋体" w:hAnsi="Times New Roman" w:cs="宋体"/>
          <w:kern w:val="0"/>
          <w:szCs w:val="21"/>
          <w:u w:val="single"/>
        </w:rPr>
        <w:t>______________________</w:t>
      </w:r>
    </w:p>
    <w:p w14:paraId="6F236261">
      <w:pPr>
        <w:widowControl/>
        <w:shd w:val="clear" w:color="auto" w:fill="FFFFFF"/>
        <w:adjustRightInd w:val="0"/>
        <w:snapToGrid w:val="0"/>
        <w:spacing w:line="360" w:lineRule="auto"/>
        <w:ind w:firstLine="420" w:firstLineChars="200"/>
        <w:rPr>
          <w:rFonts w:ascii="宋体" w:hAnsi="Times New Roman" w:cs="宋体"/>
          <w:kern w:val="0"/>
          <w:szCs w:val="21"/>
          <w:u w:val="single"/>
        </w:rPr>
      </w:pPr>
      <w:r>
        <w:rPr>
          <w:rFonts w:hint="eastAsia" w:ascii="宋体" w:hAnsi="Times New Roman" w:cs="宋体"/>
          <w:kern w:val="0"/>
        </w:rPr>
        <w:t>联系电话：</w:t>
      </w:r>
      <w:r>
        <w:rPr>
          <w:rFonts w:ascii="宋体" w:hAnsi="Times New Roman" w:cs="宋体"/>
          <w:kern w:val="0"/>
          <w:szCs w:val="21"/>
          <w:u w:val="single"/>
        </w:rPr>
        <w:t>______________________</w:t>
      </w:r>
    </w:p>
    <w:p w14:paraId="0784B36E">
      <w:pPr>
        <w:widowControl/>
        <w:jc w:val="left"/>
        <w:rPr>
          <w:rFonts w:ascii="宋体" w:hAnsi="宋体" w:cs="宋体"/>
          <w:b/>
          <w:bCs/>
          <w:sz w:val="24"/>
        </w:rPr>
      </w:pPr>
      <w:r>
        <w:br w:type="page"/>
      </w:r>
    </w:p>
    <w:p w14:paraId="48868811">
      <w:pPr>
        <w:pStyle w:val="5"/>
        <w:numPr>
          <w:ilvl w:val="0"/>
          <w:numId w:val="0"/>
        </w:numPr>
      </w:pPr>
      <w:bookmarkStart w:id="257" w:name="_Toc151802154"/>
      <w:bookmarkStart w:id="258" w:name="_Toc14983"/>
      <w:r>
        <w:t>3.</w:t>
      </w:r>
      <w:r>
        <w:rPr>
          <w:rFonts w:hint="eastAsia"/>
        </w:rPr>
        <w:t>磋商函</w:t>
      </w:r>
      <w:bookmarkEnd w:id="257"/>
      <w:bookmarkEnd w:id="258"/>
    </w:p>
    <w:p w14:paraId="0974DB0A">
      <w:pPr>
        <w:spacing w:line="360" w:lineRule="auto"/>
        <w:jc w:val="center"/>
      </w:pPr>
      <w:r>
        <w:rPr>
          <w:rFonts w:hint="eastAsia"/>
          <w:b/>
          <w:sz w:val="24"/>
        </w:rPr>
        <w:t>磋商函</w:t>
      </w:r>
    </w:p>
    <w:p w14:paraId="03270BD0">
      <w:pPr>
        <w:widowControl/>
        <w:shd w:val="clear" w:color="auto" w:fill="FFFFFF"/>
        <w:adjustRightInd w:val="0"/>
        <w:snapToGrid w:val="0"/>
        <w:spacing w:line="360" w:lineRule="auto"/>
        <w:rPr>
          <w:rFonts w:ascii="Times New Roman" w:hAnsi="Times New Roman"/>
          <w:kern w:val="0"/>
        </w:rPr>
      </w:pPr>
    </w:p>
    <w:p w14:paraId="0F0C7259">
      <w:pPr>
        <w:widowControl/>
        <w:shd w:val="clear" w:color="auto" w:fill="FFFFFF"/>
        <w:adjustRightInd w:val="0"/>
        <w:snapToGrid w:val="0"/>
        <w:spacing w:line="360" w:lineRule="auto"/>
        <w:rPr>
          <w:rFonts w:ascii="Times New Roman" w:hAnsi="Times New Roman"/>
          <w:kern w:val="0"/>
        </w:rPr>
      </w:pPr>
      <w:r>
        <w:rPr>
          <w:rFonts w:hint="eastAsia" w:ascii="Times New Roman" w:hAnsi="Times New Roman"/>
          <w:kern w:val="0"/>
        </w:rPr>
        <w:t>致：深圳市深水水务咨询有限公司：</w:t>
      </w:r>
    </w:p>
    <w:p w14:paraId="315469DD">
      <w:pPr>
        <w:widowControl/>
        <w:shd w:val="clear" w:color="auto" w:fill="FFFFFF"/>
        <w:tabs>
          <w:tab w:val="left" w:pos="426"/>
        </w:tabs>
        <w:adjustRightInd w:val="0"/>
        <w:snapToGrid w:val="0"/>
        <w:spacing w:afterLines="50" w:line="360" w:lineRule="auto"/>
        <w:ind w:firstLine="420" w:firstLineChars="200"/>
        <w:rPr>
          <w:rFonts w:ascii="宋体" w:hAnsi="Times New Roman" w:cs="宋体"/>
          <w:kern w:val="0"/>
          <w:szCs w:val="21"/>
        </w:rPr>
      </w:pPr>
      <w:r>
        <w:rPr>
          <w:rFonts w:ascii="宋体" w:hAnsi="Times New Roman" w:cs="宋体"/>
          <w:kern w:val="0"/>
          <w:szCs w:val="21"/>
        </w:rPr>
        <w:t>1.</w:t>
      </w:r>
      <w:r>
        <w:rPr>
          <w:rFonts w:hint="eastAsia" w:ascii="宋体" w:hAnsi="Times New Roman" w:cs="宋体"/>
          <w:kern w:val="0"/>
          <w:szCs w:val="21"/>
        </w:rPr>
        <w:t>根据已收到贵方的</w:t>
      </w:r>
      <w:r>
        <w:rPr>
          <w:rFonts w:hint="eastAsia" w:ascii="Times New Roman" w:hAnsi="Times New Roman"/>
          <w:kern w:val="0"/>
        </w:rPr>
        <w:t>采购项目编号为</w:t>
      </w:r>
      <w:r>
        <w:rPr>
          <w:rFonts w:ascii="Times New Roman" w:hAnsi="Times New Roman"/>
          <w:kern w:val="0"/>
          <w:u w:val="single"/>
        </w:rPr>
        <w:t>________</w:t>
      </w:r>
      <w:r>
        <w:rPr>
          <w:rFonts w:hint="eastAsia" w:ascii="Times New Roman" w:hAnsi="Times New Roman"/>
          <w:kern w:val="0"/>
        </w:rPr>
        <w:t>的</w:t>
      </w:r>
      <w:r>
        <w:rPr>
          <w:rFonts w:ascii="Times New Roman" w:hAnsi="Times New Roman"/>
          <w:kern w:val="0"/>
          <w:u w:val="single"/>
        </w:rPr>
        <w:t>_______________</w:t>
      </w:r>
      <w:r>
        <w:rPr>
          <w:rFonts w:hint="eastAsia" w:ascii="Times New Roman" w:hAnsi="Times New Roman"/>
          <w:kern w:val="0"/>
        </w:rPr>
        <w:t>项目</w:t>
      </w:r>
      <w:r>
        <w:rPr>
          <w:rFonts w:hint="eastAsia" w:ascii="宋体" w:hAnsi="Times New Roman" w:cs="宋体"/>
          <w:kern w:val="0"/>
          <w:szCs w:val="21"/>
        </w:rPr>
        <w:t>的竞争性磋商文件，遵照《中华人民共和国政府采购法实施条例》等有关规定，我单位经研究上述竞争性磋商文件的专用条款及通用条款后，我方愿以磋商中《报价总表》中填写的响应报价并按竞争性磋商文件要求承包上述项目并修补其任何缺陷。</w:t>
      </w:r>
    </w:p>
    <w:p w14:paraId="691EAA7D">
      <w:pPr>
        <w:widowControl/>
        <w:shd w:val="clear" w:color="auto" w:fill="FFFFFF"/>
        <w:tabs>
          <w:tab w:val="left" w:pos="426"/>
        </w:tabs>
        <w:adjustRightInd w:val="0"/>
        <w:snapToGrid w:val="0"/>
        <w:spacing w:afterLines="50" w:line="360" w:lineRule="auto"/>
        <w:ind w:firstLine="420" w:firstLineChars="200"/>
        <w:rPr>
          <w:rFonts w:ascii="宋体" w:hAnsi="Times New Roman" w:cs="宋体"/>
          <w:kern w:val="0"/>
          <w:szCs w:val="21"/>
        </w:rPr>
      </w:pPr>
      <w:r>
        <w:rPr>
          <w:rFonts w:ascii="宋体" w:hAnsi="Times New Roman" w:cs="宋体"/>
          <w:kern w:val="0"/>
          <w:szCs w:val="21"/>
        </w:rPr>
        <w:t>2.</w:t>
      </w:r>
      <w:r>
        <w:rPr>
          <w:rFonts w:hint="eastAsia" w:ascii="宋体" w:hAnsi="Times New Roman" w:cs="宋体"/>
          <w:kern w:val="0"/>
          <w:szCs w:val="21"/>
        </w:rPr>
        <w:t>我方已认真核实了响应文件的全部资料，所有资料均为真实资料。我方对响应文件中全部磋商资料的真实性负责，如被证实我方的响应文件中存在虚假资料的，则视为我方隐瞒真实情况、提供虚假资料，我方愿意接受主管部门作出的行政处罚。</w:t>
      </w:r>
    </w:p>
    <w:p w14:paraId="3D600B0F">
      <w:pPr>
        <w:widowControl/>
        <w:shd w:val="clear" w:color="auto" w:fill="FFFFFF"/>
        <w:tabs>
          <w:tab w:val="left" w:pos="426"/>
        </w:tabs>
        <w:adjustRightInd w:val="0"/>
        <w:snapToGrid w:val="0"/>
        <w:spacing w:afterLines="50" w:line="360" w:lineRule="auto"/>
        <w:ind w:firstLine="411" w:firstLineChars="196"/>
        <w:rPr>
          <w:rFonts w:ascii="宋体" w:hAnsi="Times New Roman" w:cs="宋体"/>
          <w:kern w:val="0"/>
          <w:szCs w:val="21"/>
        </w:rPr>
      </w:pPr>
      <w:r>
        <w:rPr>
          <w:rFonts w:ascii="宋体" w:hAnsi="Times New Roman" w:cs="宋体"/>
          <w:kern w:val="0"/>
          <w:szCs w:val="21"/>
        </w:rPr>
        <w:t>3.</w:t>
      </w:r>
      <w:r>
        <w:rPr>
          <w:rFonts w:hint="eastAsia" w:ascii="宋体" w:hAnsi="Times New Roman" w:cs="宋体"/>
          <w:kern w:val="0"/>
          <w:szCs w:val="21"/>
        </w:rPr>
        <w:t>我方同意所递交的响应文件在磋商有效期内有效，在此期间内我方的磋商有可能成交，我方将受此约束。如果在磋商有效期内撤回，自行承担一切后果。</w:t>
      </w:r>
    </w:p>
    <w:p w14:paraId="3DBDB847">
      <w:pPr>
        <w:widowControl/>
        <w:shd w:val="clear" w:color="auto" w:fill="FFFFFF"/>
        <w:tabs>
          <w:tab w:val="left" w:pos="426"/>
        </w:tabs>
        <w:adjustRightInd w:val="0"/>
        <w:snapToGrid w:val="0"/>
        <w:spacing w:afterLines="50" w:line="360" w:lineRule="auto"/>
        <w:ind w:firstLine="411" w:firstLineChars="196"/>
        <w:rPr>
          <w:rFonts w:ascii="宋体" w:hAnsi="Times New Roman" w:cs="宋体"/>
          <w:kern w:val="0"/>
          <w:szCs w:val="21"/>
        </w:rPr>
      </w:pPr>
      <w:r>
        <w:rPr>
          <w:rFonts w:ascii="宋体" w:hAnsi="Times New Roman" w:cs="宋体"/>
          <w:kern w:val="0"/>
          <w:szCs w:val="21"/>
        </w:rPr>
        <w:t>4.</w:t>
      </w:r>
      <w:r>
        <w:rPr>
          <w:rFonts w:hint="eastAsia" w:ascii="宋体" w:hAnsi="Times New Roman" w:cs="宋体"/>
          <w:kern w:val="0"/>
          <w:szCs w:val="21"/>
        </w:rPr>
        <w:t>除非另外达成协议并生效，贵方的成交通知书和本响应文件将构成约束我们双方的合同。</w:t>
      </w:r>
    </w:p>
    <w:p w14:paraId="6A409119">
      <w:pPr>
        <w:widowControl/>
        <w:shd w:val="clear" w:color="auto" w:fill="FFFFFF"/>
        <w:tabs>
          <w:tab w:val="left" w:pos="426"/>
        </w:tabs>
        <w:adjustRightInd w:val="0"/>
        <w:snapToGrid w:val="0"/>
        <w:spacing w:afterLines="50" w:line="360" w:lineRule="auto"/>
        <w:ind w:firstLine="420" w:firstLineChars="200"/>
        <w:rPr>
          <w:rFonts w:ascii="宋体" w:hAnsi="Times New Roman" w:cs="宋体"/>
          <w:kern w:val="0"/>
          <w:szCs w:val="21"/>
        </w:rPr>
      </w:pPr>
      <w:r>
        <w:rPr>
          <w:rFonts w:ascii="宋体" w:hAnsi="Times New Roman" w:cs="宋体"/>
          <w:kern w:val="0"/>
          <w:szCs w:val="21"/>
        </w:rPr>
        <w:t>5.</w:t>
      </w:r>
      <w:r>
        <w:rPr>
          <w:rFonts w:hint="eastAsia" w:ascii="宋体" w:hAnsi="Times New Roman" w:cs="宋体"/>
          <w:kern w:val="0"/>
          <w:szCs w:val="21"/>
        </w:rPr>
        <w:t>我方理解贵方将不受必须接受你们所收到的最低标价或其它任何响应文件的约束。</w:t>
      </w:r>
    </w:p>
    <w:p w14:paraId="558B9DD1">
      <w:pPr>
        <w:spacing w:line="440" w:lineRule="exact"/>
        <w:rPr>
          <w:rFonts w:ascii="宋体" w:hAnsi="宋体" w:cs="宋体"/>
          <w:bCs/>
          <w:sz w:val="24"/>
        </w:rPr>
      </w:pPr>
    </w:p>
    <w:p w14:paraId="793BF026">
      <w:pPr>
        <w:widowControl/>
        <w:shd w:val="clear" w:color="auto" w:fill="FFFFFF"/>
        <w:adjustRightInd w:val="0"/>
        <w:snapToGrid w:val="0"/>
        <w:spacing w:line="300" w:lineRule="auto"/>
        <w:ind w:firstLine="630" w:firstLineChars="300"/>
        <w:rPr>
          <w:rFonts w:ascii="宋体" w:hAnsi="Times New Roman" w:cs="宋体"/>
          <w:kern w:val="0"/>
          <w:szCs w:val="21"/>
        </w:rPr>
      </w:pPr>
      <w:r>
        <w:rPr>
          <w:rFonts w:hint="eastAsia" w:ascii="宋体" w:hAnsi="Times New Roman" w:cs="宋体"/>
          <w:kern w:val="0"/>
          <w:szCs w:val="21"/>
        </w:rPr>
        <w:t>地址：</w:t>
      </w:r>
      <w:r>
        <w:rPr>
          <w:rFonts w:ascii="宋体" w:hAnsi="Times New Roman" w:cs="宋体"/>
          <w:kern w:val="0"/>
          <w:szCs w:val="21"/>
          <w:u w:val="single"/>
        </w:rPr>
        <w:t>______________________</w:t>
      </w:r>
      <w:r>
        <w:rPr>
          <w:rFonts w:hint="eastAsia" w:ascii="宋体" w:hAnsi="Times New Roman" w:cs="宋体"/>
          <w:kern w:val="0"/>
          <w:szCs w:val="21"/>
        </w:rPr>
        <w:t>电话：</w:t>
      </w:r>
      <w:r>
        <w:rPr>
          <w:rFonts w:ascii="宋体" w:hAnsi="Times New Roman" w:cs="宋体"/>
          <w:kern w:val="0"/>
          <w:szCs w:val="21"/>
          <w:u w:val="single"/>
        </w:rPr>
        <w:t>______________________</w:t>
      </w:r>
    </w:p>
    <w:p w14:paraId="2CBD428A">
      <w:pPr>
        <w:widowControl/>
        <w:shd w:val="clear" w:color="auto" w:fill="FFFFFF"/>
        <w:adjustRightInd w:val="0"/>
        <w:snapToGrid w:val="0"/>
        <w:spacing w:line="300" w:lineRule="auto"/>
        <w:ind w:firstLine="630" w:firstLineChars="300"/>
        <w:rPr>
          <w:rFonts w:ascii="宋体" w:hAnsi="Times New Roman" w:cs="宋体"/>
          <w:kern w:val="0"/>
          <w:szCs w:val="21"/>
          <w:u w:val="single"/>
        </w:rPr>
      </w:pPr>
      <w:r>
        <w:rPr>
          <w:rFonts w:hint="eastAsia" w:ascii="宋体" w:hAnsi="Times New Roman" w:cs="宋体"/>
          <w:kern w:val="0"/>
          <w:szCs w:val="21"/>
        </w:rPr>
        <w:t>供应商名称（公章）：</w:t>
      </w:r>
      <w:r>
        <w:rPr>
          <w:rFonts w:ascii="宋体" w:hAnsi="Times New Roman" w:cs="宋体"/>
          <w:kern w:val="0"/>
          <w:szCs w:val="21"/>
          <w:u w:val="single"/>
        </w:rPr>
        <w:t>______________________</w:t>
      </w:r>
    </w:p>
    <w:p w14:paraId="25E60051">
      <w:pPr>
        <w:widowControl/>
        <w:shd w:val="clear" w:color="auto" w:fill="FFFFFF"/>
        <w:adjustRightInd w:val="0"/>
        <w:snapToGrid w:val="0"/>
        <w:spacing w:line="300" w:lineRule="auto"/>
        <w:ind w:firstLine="630" w:firstLineChars="300"/>
        <w:rPr>
          <w:rFonts w:ascii="宋体" w:hAnsi="Times New Roman" w:cs="宋体"/>
          <w:kern w:val="0"/>
          <w:szCs w:val="21"/>
          <w:u w:val="single"/>
        </w:rPr>
      </w:pPr>
      <w:r>
        <w:rPr>
          <w:rFonts w:hint="eastAsia" w:ascii="宋体" w:hAnsi="Times New Roman" w:cs="宋体"/>
          <w:kern w:val="0"/>
          <w:szCs w:val="21"/>
        </w:rPr>
        <w:t>法定代表人或供应商授权代表（签名或盖章）：</w:t>
      </w:r>
      <w:r>
        <w:rPr>
          <w:rFonts w:ascii="宋体" w:hAnsi="Times New Roman" w:cs="宋体"/>
          <w:kern w:val="0"/>
          <w:szCs w:val="21"/>
        </w:rPr>
        <w:t xml:space="preserve"> </w:t>
      </w:r>
      <w:r>
        <w:rPr>
          <w:rFonts w:ascii="宋体" w:hAnsi="Times New Roman" w:cs="宋体"/>
          <w:kern w:val="0"/>
          <w:szCs w:val="21"/>
          <w:u w:val="single"/>
        </w:rPr>
        <w:t>______________________</w:t>
      </w:r>
    </w:p>
    <w:p w14:paraId="05523276">
      <w:pPr>
        <w:widowControl/>
        <w:shd w:val="clear" w:color="auto" w:fill="FFFFFF"/>
        <w:adjustRightInd w:val="0"/>
        <w:snapToGrid w:val="0"/>
        <w:spacing w:line="300" w:lineRule="auto"/>
        <w:ind w:firstLine="630" w:firstLineChars="300"/>
        <w:rPr>
          <w:rFonts w:ascii="宋体" w:hAnsi="Times New Roman" w:cs="宋体"/>
          <w:kern w:val="0"/>
          <w:szCs w:val="21"/>
          <w:u w:val="single"/>
        </w:rPr>
      </w:pPr>
      <w:r>
        <w:rPr>
          <w:rFonts w:hint="eastAsia" w:ascii="宋体" w:hAnsi="Times New Roman" w:cs="宋体"/>
          <w:kern w:val="0"/>
          <w:szCs w:val="21"/>
        </w:rPr>
        <w:t>日期：</w:t>
      </w:r>
      <w:r>
        <w:rPr>
          <w:rFonts w:ascii="宋体" w:hAnsi="Times New Roman" w:cs="宋体"/>
          <w:kern w:val="0"/>
          <w:szCs w:val="21"/>
          <w:u w:val="single"/>
        </w:rPr>
        <w:t>______________________</w:t>
      </w:r>
    </w:p>
    <w:p w14:paraId="0E97E9CE">
      <w:pPr>
        <w:spacing w:line="440" w:lineRule="exact"/>
        <w:ind w:firstLine="3864" w:firstLineChars="1610"/>
        <w:rPr>
          <w:rFonts w:ascii="宋体" w:hAnsi="宋体" w:cs="宋体"/>
          <w:bCs/>
          <w:sz w:val="24"/>
        </w:rPr>
        <w:sectPr>
          <w:headerReference r:id="rId8" w:type="first"/>
          <w:footerReference r:id="rId11" w:type="first"/>
          <w:headerReference r:id="rId6" w:type="default"/>
          <w:footerReference r:id="rId9" w:type="default"/>
          <w:headerReference r:id="rId7" w:type="even"/>
          <w:footerReference r:id="rId10" w:type="even"/>
          <w:pgSz w:w="11906" w:h="16838"/>
          <w:pgMar w:top="1134" w:right="1106" w:bottom="1134" w:left="976" w:header="851" w:footer="992" w:gutter="284"/>
          <w:pgNumType w:start="1"/>
          <w:cols w:space="720" w:num="1"/>
          <w:docGrid w:linePitch="312" w:charSpace="0"/>
        </w:sectPr>
      </w:pPr>
    </w:p>
    <w:p w14:paraId="631D704A">
      <w:pPr>
        <w:pStyle w:val="5"/>
        <w:numPr>
          <w:ilvl w:val="0"/>
          <w:numId w:val="0"/>
        </w:numPr>
      </w:pPr>
      <w:bookmarkStart w:id="259" w:name="_Toc151802155"/>
      <w:bookmarkStart w:id="260" w:name="_Toc22502"/>
      <w:r>
        <w:t>4. 法定代表人证明书</w:t>
      </w:r>
      <w:bookmarkEnd w:id="259"/>
      <w:bookmarkEnd w:id="260"/>
    </w:p>
    <w:p w14:paraId="39C7CD95">
      <w:pPr>
        <w:pStyle w:val="109"/>
        <w:jc w:val="left"/>
        <w:rPr>
          <w:rFonts w:ascii="宋体" w:hAnsi="宋体" w:cs="宋体"/>
          <w:b/>
          <w:bCs/>
          <w:sz w:val="24"/>
          <w:szCs w:val="24"/>
        </w:rPr>
      </w:pPr>
    </w:p>
    <w:p w14:paraId="6977B0A8">
      <w:pPr>
        <w:spacing w:line="300" w:lineRule="auto"/>
        <w:jc w:val="center"/>
        <w:rPr>
          <w:rFonts w:ascii="宋体" w:hAnsi="Times New Roman"/>
          <w:bCs/>
          <w:sz w:val="32"/>
          <w:szCs w:val="32"/>
        </w:rPr>
      </w:pPr>
      <w:r>
        <w:rPr>
          <w:rFonts w:hint="eastAsia" w:ascii="宋体" w:hAnsi="Times New Roman"/>
          <w:bCs/>
          <w:sz w:val="32"/>
          <w:szCs w:val="32"/>
        </w:rPr>
        <w:t>法定代表人证明书</w:t>
      </w:r>
    </w:p>
    <w:p w14:paraId="6E017F0E">
      <w:pPr>
        <w:widowControl/>
        <w:shd w:val="clear" w:color="auto" w:fill="FFFFFF"/>
        <w:adjustRightInd w:val="0"/>
        <w:snapToGrid w:val="0"/>
        <w:spacing w:line="480" w:lineRule="auto"/>
        <w:ind w:firstLine="424" w:firstLineChars="202"/>
        <w:rPr>
          <w:rFonts w:ascii="宋体" w:hAnsi="Times New Roman" w:cs="宋体"/>
          <w:kern w:val="0"/>
          <w:u w:val="single"/>
        </w:rPr>
      </w:pPr>
    </w:p>
    <w:p w14:paraId="7DBD2086">
      <w:pPr>
        <w:widowControl/>
        <w:shd w:val="clear" w:color="auto" w:fill="FFFFFF"/>
        <w:adjustRightInd w:val="0"/>
        <w:snapToGrid w:val="0"/>
        <w:spacing w:line="480" w:lineRule="auto"/>
        <w:ind w:firstLine="424" w:firstLineChars="202"/>
        <w:jc w:val="left"/>
        <w:rPr>
          <w:rFonts w:ascii="宋体" w:hAnsi="Times New Roman" w:cs="宋体"/>
          <w:kern w:val="0"/>
        </w:rPr>
      </w:pPr>
      <w:r>
        <w:rPr>
          <w:rFonts w:ascii="宋体" w:hAnsi="Times New Roman" w:cs="宋体"/>
          <w:kern w:val="0"/>
          <w:u w:val="single"/>
        </w:rPr>
        <w:t>__________</w:t>
      </w:r>
      <w:r>
        <w:rPr>
          <w:rFonts w:hint="eastAsia" w:ascii="宋体" w:hAnsi="Times New Roman" w:cs="宋体"/>
          <w:kern w:val="0"/>
        </w:rPr>
        <w:t>同志，现任我单位职务，为法定代表人，特此证明。</w:t>
      </w:r>
    </w:p>
    <w:p w14:paraId="27F68150">
      <w:pPr>
        <w:widowControl/>
        <w:shd w:val="clear" w:color="auto" w:fill="FFFFFF"/>
        <w:adjustRightInd w:val="0"/>
        <w:snapToGrid w:val="0"/>
        <w:spacing w:line="480" w:lineRule="auto"/>
        <w:ind w:firstLine="424" w:firstLineChars="202"/>
        <w:jc w:val="left"/>
        <w:rPr>
          <w:rFonts w:ascii="宋体" w:hAnsi="Times New Roman" w:cs="宋体"/>
          <w:kern w:val="0"/>
        </w:rPr>
      </w:pPr>
      <w:r>
        <w:rPr>
          <w:rFonts w:hint="eastAsia" w:ascii="宋体" w:hAnsi="Times New Roman" w:cs="宋体"/>
          <w:kern w:val="0"/>
        </w:rPr>
        <w:t>本证明书自签发之日起生效，有效期与本公司响应文件成交注的磋商有效期相同。</w:t>
      </w:r>
    </w:p>
    <w:p w14:paraId="54BCC67A">
      <w:pPr>
        <w:widowControl/>
        <w:shd w:val="clear" w:color="auto" w:fill="FFFFFF"/>
        <w:adjustRightInd w:val="0"/>
        <w:snapToGrid w:val="0"/>
        <w:spacing w:line="480" w:lineRule="auto"/>
        <w:ind w:firstLine="424" w:firstLineChars="202"/>
        <w:jc w:val="left"/>
        <w:rPr>
          <w:rFonts w:ascii="宋体" w:hAnsi="宋体" w:cs="宋体"/>
          <w:kern w:val="0"/>
        </w:rPr>
      </w:pPr>
      <w:r>
        <w:rPr>
          <w:rFonts w:hint="eastAsia" w:ascii="宋体" w:hAnsi="宋体" w:cs="宋体"/>
          <w:kern w:val="0"/>
        </w:rPr>
        <w:t>附：</w:t>
      </w:r>
    </w:p>
    <w:p w14:paraId="674BB8B1">
      <w:pPr>
        <w:ind w:firstLine="420" w:firstLineChars="200"/>
        <w:jc w:val="left"/>
        <w:rPr>
          <w:rFonts w:ascii="宋体" w:hAnsi="宋体"/>
        </w:rPr>
      </w:pPr>
      <w:r>
        <w:rPr>
          <w:rFonts w:hint="eastAsia" w:ascii="宋体" w:hAnsi="宋体"/>
        </w:rPr>
        <w:t>营业执照（注册号）：</w:t>
      </w:r>
      <w:r>
        <w:rPr>
          <w:rFonts w:ascii="宋体" w:hAnsi="宋体"/>
        </w:rPr>
        <w:t>_____________________________________</w:t>
      </w:r>
    </w:p>
    <w:p w14:paraId="26BE0009">
      <w:pPr>
        <w:ind w:firstLine="420" w:firstLineChars="200"/>
        <w:jc w:val="left"/>
        <w:rPr>
          <w:rFonts w:ascii="宋体" w:hAnsi="宋体"/>
        </w:rPr>
      </w:pPr>
      <w:r>
        <w:rPr>
          <w:rFonts w:hint="eastAsia" w:ascii="宋体" w:hAnsi="宋体"/>
        </w:rPr>
        <w:t>经济性质：</w:t>
      </w:r>
      <w:r>
        <w:rPr>
          <w:rFonts w:ascii="宋体" w:hAnsi="宋体"/>
        </w:rPr>
        <w:t>_______________________________________________</w:t>
      </w:r>
    </w:p>
    <w:p w14:paraId="0973EFC8">
      <w:pPr>
        <w:ind w:firstLine="420" w:firstLineChars="200"/>
        <w:jc w:val="left"/>
        <w:rPr>
          <w:rFonts w:ascii="宋体" w:hAnsi="宋体"/>
        </w:rPr>
      </w:pPr>
      <w:r>
        <w:rPr>
          <w:rFonts w:hint="eastAsia" w:ascii="宋体" w:hAnsi="宋体"/>
        </w:rPr>
        <w:t>主营（产）：</w:t>
      </w:r>
      <w:r>
        <w:rPr>
          <w:rFonts w:ascii="宋体" w:hAnsi="宋体"/>
        </w:rPr>
        <w:t>_____________________________________________</w:t>
      </w:r>
    </w:p>
    <w:p w14:paraId="34464FF7">
      <w:pPr>
        <w:ind w:firstLine="420" w:firstLineChars="200"/>
        <w:jc w:val="left"/>
        <w:rPr>
          <w:rFonts w:ascii="宋体" w:hAnsi="宋体"/>
        </w:rPr>
      </w:pPr>
      <w:r>
        <w:rPr>
          <w:rFonts w:hint="eastAsia" w:ascii="宋体" w:hAnsi="宋体"/>
        </w:rPr>
        <w:t>兼营（产）：</w:t>
      </w:r>
      <w:r>
        <w:rPr>
          <w:rFonts w:ascii="宋体" w:hAnsi="宋体"/>
        </w:rPr>
        <w:t>_____________________________________________</w:t>
      </w:r>
    </w:p>
    <w:p w14:paraId="7DBC47D3">
      <w:pPr>
        <w:widowControl/>
        <w:shd w:val="clear" w:color="auto" w:fill="FFFFFF"/>
        <w:adjustRightInd w:val="0"/>
        <w:snapToGrid w:val="0"/>
        <w:spacing w:line="360" w:lineRule="auto"/>
        <w:ind w:firstLine="420" w:firstLineChars="200"/>
        <w:jc w:val="left"/>
        <w:rPr>
          <w:rFonts w:ascii="宋体" w:hAnsi="宋体" w:cs="宋体"/>
          <w:kern w:val="0"/>
        </w:rPr>
      </w:pPr>
    </w:p>
    <w:p w14:paraId="617CAD9A">
      <w:pPr>
        <w:widowControl/>
        <w:shd w:val="clear" w:color="auto" w:fill="FFFFFF"/>
        <w:adjustRightInd w:val="0"/>
        <w:snapToGrid w:val="0"/>
        <w:spacing w:line="360" w:lineRule="auto"/>
        <w:ind w:firstLine="424" w:firstLineChars="202"/>
        <w:jc w:val="left"/>
        <w:rPr>
          <w:rFonts w:ascii="宋体" w:hAnsi="Times New Roman" w:cs="宋体"/>
          <w:kern w:val="0"/>
          <w:szCs w:val="21"/>
        </w:rPr>
      </w:pPr>
      <w:r>
        <w:rPr>
          <w:rFonts w:hint="eastAsia" w:ascii="宋体" w:hAnsi="Times New Roman" w:cs="宋体"/>
          <w:kern w:val="0"/>
          <w:szCs w:val="21"/>
        </w:rPr>
        <w:t>附：法定代表人身份证复印件：</w:t>
      </w:r>
    </w:p>
    <w:p w14:paraId="7BD29E09">
      <w:pPr>
        <w:widowControl/>
        <w:shd w:val="clear" w:color="auto" w:fill="FFFFFF"/>
        <w:adjustRightInd w:val="0"/>
        <w:snapToGrid w:val="0"/>
        <w:spacing w:line="360" w:lineRule="auto"/>
        <w:ind w:firstLine="424" w:firstLineChars="202"/>
        <w:rPr>
          <w:rFonts w:ascii="宋体" w:hAnsi="Times New Roman" w:cs="宋体"/>
          <w:kern w:val="0"/>
          <w:szCs w:val="21"/>
        </w:rPr>
      </w:pPr>
    </w:p>
    <w:p w14:paraId="1094612D">
      <w:pPr>
        <w:widowControl/>
        <w:shd w:val="clear" w:color="auto" w:fill="FFFFFF"/>
        <w:adjustRightInd w:val="0"/>
        <w:snapToGrid w:val="0"/>
        <w:spacing w:line="360" w:lineRule="auto"/>
        <w:ind w:firstLine="424" w:firstLineChars="202"/>
        <w:rPr>
          <w:rFonts w:ascii="宋体" w:hAnsi="Times New Roman" w:cs="宋体"/>
          <w:kern w:val="0"/>
          <w:szCs w:val="21"/>
        </w:rPr>
      </w:pPr>
    </w:p>
    <w:p w14:paraId="77E4928F">
      <w:pPr>
        <w:widowControl/>
        <w:shd w:val="clear" w:color="auto" w:fill="FFFFFF"/>
        <w:adjustRightInd w:val="0"/>
        <w:snapToGrid w:val="0"/>
        <w:spacing w:line="360" w:lineRule="auto"/>
        <w:ind w:firstLine="424" w:firstLineChars="202"/>
        <w:rPr>
          <w:rFonts w:ascii="宋体" w:hAnsi="Times New Roman" w:cs="宋体"/>
          <w:kern w:val="0"/>
          <w:szCs w:val="21"/>
        </w:rPr>
      </w:pPr>
    </w:p>
    <w:p w14:paraId="1CB22204">
      <w:pPr>
        <w:widowControl/>
        <w:shd w:val="clear" w:color="auto" w:fill="FFFFFF"/>
        <w:adjustRightInd w:val="0"/>
        <w:snapToGrid w:val="0"/>
        <w:spacing w:line="500" w:lineRule="exact"/>
        <w:ind w:left="3822" w:leftChars="1820"/>
        <w:rPr>
          <w:rFonts w:ascii="宋体" w:hAnsi="Times New Roman" w:cs="宋体"/>
          <w:kern w:val="0"/>
          <w:u w:val="single"/>
        </w:rPr>
      </w:pPr>
      <w:r>
        <w:rPr>
          <w:rFonts w:hint="eastAsia" w:ascii="宋体" w:hAnsi="Times New Roman" w:cs="宋体"/>
          <w:kern w:val="0"/>
        </w:rPr>
        <w:t>供应商名称（单位盖</w:t>
      </w:r>
      <w:r>
        <w:rPr>
          <w:rFonts w:hint="eastAsia" w:ascii="宋体" w:hAnsi="Times New Roman" w:cs="宋体"/>
          <w:spacing w:val="4"/>
          <w:kern w:val="0"/>
        </w:rPr>
        <w:t>公章</w:t>
      </w:r>
      <w:r>
        <w:rPr>
          <w:rFonts w:hint="eastAsia" w:ascii="宋体" w:hAnsi="Times New Roman" w:cs="宋体"/>
          <w:kern w:val="0"/>
        </w:rPr>
        <w:t>）：</w:t>
      </w:r>
      <w:r>
        <w:rPr>
          <w:rFonts w:ascii="宋体" w:hAnsi="Times New Roman" w:cs="宋体"/>
          <w:kern w:val="0"/>
          <w:u w:val="single"/>
        </w:rPr>
        <w:t>__________________</w:t>
      </w:r>
    </w:p>
    <w:p w14:paraId="4C8D2709">
      <w:pPr>
        <w:widowControl/>
        <w:shd w:val="clear" w:color="auto" w:fill="FFFFFF"/>
        <w:adjustRightInd w:val="0"/>
        <w:snapToGrid w:val="0"/>
        <w:spacing w:line="500" w:lineRule="exact"/>
        <w:ind w:left="3822" w:leftChars="1820"/>
        <w:rPr>
          <w:rFonts w:ascii="宋体" w:hAnsi="Times New Roman" w:cs="宋体"/>
          <w:kern w:val="0"/>
          <w:u w:val="single"/>
        </w:rPr>
      </w:pPr>
      <w:r>
        <w:rPr>
          <w:rFonts w:hint="eastAsia" w:ascii="宋体" w:hAnsi="Times New Roman" w:cs="宋体"/>
          <w:kern w:val="0"/>
        </w:rPr>
        <w:t>地址：</w:t>
      </w:r>
      <w:r>
        <w:rPr>
          <w:rFonts w:ascii="宋体" w:hAnsi="Times New Roman" w:cs="宋体"/>
          <w:kern w:val="0"/>
          <w:u w:val="single"/>
        </w:rPr>
        <w:t>___________________________________________</w:t>
      </w:r>
    </w:p>
    <w:p w14:paraId="7BDCB1CD">
      <w:pPr>
        <w:widowControl/>
        <w:shd w:val="clear" w:color="auto" w:fill="FFFFFF"/>
        <w:adjustRightInd w:val="0"/>
        <w:snapToGrid w:val="0"/>
        <w:spacing w:line="500" w:lineRule="exact"/>
        <w:ind w:left="3822" w:leftChars="1820"/>
        <w:rPr>
          <w:rFonts w:ascii="宋体" w:hAnsi="Times New Roman" w:cs="宋体"/>
          <w:kern w:val="0"/>
          <w:u w:val="single"/>
        </w:rPr>
      </w:pPr>
      <w:r>
        <w:rPr>
          <w:rFonts w:hint="eastAsia" w:ascii="宋体" w:hAnsi="Times New Roman" w:cs="宋体"/>
          <w:kern w:val="0"/>
        </w:rPr>
        <w:t>签发日期：</w:t>
      </w:r>
      <w:r>
        <w:rPr>
          <w:rFonts w:ascii="宋体" w:hAnsi="Times New Roman" w:cs="宋体"/>
          <w:kern w:val="0"/>
          <w:u w:val="single"/>
        </w:rPr>
        <w:t>_______________________________________</w:t>
      </w:r>
    </w:p>
    <w:p w14:paraId="794E526E">
      <w:pPr>
        <w:spacing w:line="360" w:lineRule="auto"/>
        <w:ind w:firstLine="4533" w:firstLineChars="2150"/>
        <w:rPr>
          <w:rFonts w:ascii="宋体" w:hAnsi="宋体" w:cs="宋体"/>
          <w:b/>
          <w:szCs w:val="21"/>
        </w:rPr>
      </w:pPr>
    </w:p>
    <w:p w14:paraId="2BD022F1">
      <w:pPr>
        <w:spacing w:line="360" w:lineRule="auto"/>
        <w:ind w:firstLine="4533" w:firstLineChars="2150"/>
        <w:rPr>
          <w:rFonts w:ascii="宋体" w:hAnsi="宋体" w:cs="宋体"/>
          <w:b/>
          <w:szCs w:val="21"/>
        </w:rPr>
      </w:pPr>
    </w:p>
    <w:p w14:paraId="38F30E0F">
      <w:pPr>
        <w:pStyle w:val="5"/>
        <w:numPr>
          <w:ilvl w:val="0"/>
          <w:numId w:val="0"/>
        </w:numPr>
      </w:pPr>
      <w:r>
        <w:br w:type="page"/>
      </w:r>
      <w:bookmarkStart w:id="261" w:name="_Toc11814"/>
      <w:bookmarkStart w:id="262" w:name="_Toc12431"/>
      <w:bookmarkStart w:id="263" w:name="_Toc151802156"/>
      <w:bookmarkStart w:id="264" w:name="_Toc26130"/>
      <w:r>
        <w:t>5.</w:t>
      </w:r>
      <w:bookmarkEnd w:id="261"/>
      <w:bookmarkEnd w:id="262"/>
      <w:r>
        <w:t xml:space="preserve"> 法定代表人授权委托书</w:t>
      </w:r>
      <w:bookmarkEnd w:id="263"/>
      <w:bookmarkEnd w:id="264"/>
    </w:p>
    <w:p w14:paraId="32E220FD">
      <w:pPr>
        <w:spacing w:line="300" w:lineRule="auto"/>
        <w:jc w:val="center"/>
        <w:rPr>
          <w:rFonts w:ascii="宋体" w:hAnsi="Times New Roman"/>
          <w:bCs/>
          <w:sz w:val="32"/>
          <w:szCs w:val="32"/>
        </w:rPr>
      </w:pPr>
      <w:r>
        <w:rPr>
          <w:rFonts w:hint="eastAsia" w:ascii="宋体" w:hAnsi="Times New Roman"/>
          <w:bCs/>
          <w:sz w:val="32"/>
          <w:szCs w:val="32"/>
        </w:rPr>
        <w:t>法定代表人授权委托书</w:t>
      </w:r>
    </w:p>
    <w:p w14:paraId="620FABF2">
      <w:pPr>
        <w:widowControl/>
        <w:shd w:val="clear" w:color="auto" w:fill="FFFFFF"/>
        <w:adjustRightInd w:val="0"/>
        <w:snapToGrid w:val="0"/>
        <w:spacing w:line="360" w:lineRule="auto"/>
        <w:ind w:firstLine="420" w:firstLineChars="200"/>
        <w:rPr>
          <w:rFonts w:ascii="宋体" w:hAnsi="Times New Roman"/>
          <w:szCs w:val="20"/>
        </w:rPr>
      </w:pPr>
    </w:p>
    <w:p w14:paraId="458CC46B">
      <w:pPr>
        <w:widowControl/>
        <w:shd w:val="clear" w:color="auto" w:fill="FFFFFF"/>
        <w:adjustRightInd w:val="0"/>
        <w:snapToGrid w:val="0"/>
        <w:spacing w:line="360" w:lineRule="auto"/>
        <w:ind w:firstLine="420" w:firstLineChars="200"/>
        <w:rPr>
          <w:rFonts w:ascii="宋体" w:hAnsi="Times New Roman"/>
          <w:szCs w:val="20"/>
        </w:rPr>
      </w:pPr>
      <w:r>
        <w:rPr>
          <w:rFonts w:hint="eastAsia" w:ascii="宋体" w:hAnsi="Times New Roman"/>
          <w:szCs w:val="20"/>
        </w:rPr>
        <w:t>本授权委托书声明：注册于</w:t>
      </w:r>
      <w:r>
        <w:rPr>
          <w:rFonts w:hint="eastAsia" w:ascii="宋体" w:hAnsi="Times New Roman"/>
          <w:szCs w:val="20"/>
          <w:u w:val="single"/>
        </w:rPr>
        <w:t>（供应商地址）</w:t>
      </w:r>
      <w:r>
        <w:rPr>
          <w:rFonts w:hint="eastAsia" w:ascii="宋体" w:hAnsi="Times New Roman"/>
          <w:szCs w:val="20"/>
        </w:rPr>
        <w:t>的</w:t>
      </w:r>
      <w:r>
        <w:rPr>
          <w:rFonts w:hint="eastAsia" w:ascii="宋体" w:hAnsi="Times New Roman"/>
          <w:szCs w:val="20"/>
          <w:u w:val="single"/>
        </w:rPr>
        <w:t>（供应商名称）</w:t>
      </w:r>
      <w:r>
        <w:rPr>
          <w:rFonts w:hint="eastAsia" w:ascii="宋体" w:hAnsi="Times New Roman"/>
          <w:szCs w:val="20"/>
        </w:rPr>
        <w:t>在下面签名的</w:t>
      </w:r>
      <w:r>
        <w:rPr>
          <w:rFonts w:hint="eastAsia" w:ascii="宋体" w:hAnsi="Times New Roman"/>
          <w:szCs w:val="20"/>
          <w:u w:val="single"/>
        </w:rPr>
        <w:t>（法定代表人姓名、职务）</w:t>
      </w:r>
      <w:r>
        <w:rPr>
          <w:rFonts w:hint="eastAsia" w:ascii="宋体" w:hAnsi="Times New Roman"/>
          <w:szCs w:val="20"/>
        </w:rPr>
        <w:t>在此授权</w:t>
      </w:r>
      <w:r>
        <w:rPr>
          <w:rFonts w:hint="eastAsia" w:ascii="宋体" w:hAnsi="Times New Roman"/>
          <w:szCs w:val="20"/>
          <w:u w:val="single"/>
        </w:rPr>
        <w:t>（被授权人姓名、职务）</w:t>
      </w:r>
      <w:r>
        <w:rPr>
          <w:rFonts w:hint="eastAsia" w:ascii="宋体" w:hAnsi="Times New Roman"/>
          <w:szCs w:val="20"/>
        </w:rPr>
        <w:t>作为我公司的合法代理人，就</w:t>
      </w:r>
      <w:r>
        <w:rPr>
          <w:rFonts w:hint="eastAsia" w:ascii="宋体" w:hAnsi="Times New Roman"/>
          <w:szCs w:val="20"/>
          <w:u w:val="single"/>
        </w:rPr>
        <w:t>（项目名称、项目编号</w:t>
      </w:r>
      <w:r>
        <w:rPr>
          <w:rFonts w:hint="eastAsia" w:ascii="宋体" w:hAnsi="Times New Roman"/>
          <w:szCs w:val="20"/>
        </w:rPr>
        <w:t>）的采购活动，采购合同的签订、执行、完成和售后服务，作为供应商代表以我方的名义处理一切与之有关的事务。</w:t>
      </w:r>
    </w:p>
    <w:p w14:paraId="44132309">
      <w:pPr>
        <w:widowControl/>
        <w:shd w:val="clear" w:color="auto" w:fill="FFFFFF"/>
        <w:adjustRightInd w:val="0"/>
        <w:snapToGrid w:val="0"/>
        <w:spacing w:line="360" w:lineRule="auto"/>
        <w:ind w:firstLine="420" w:firstLineChars="200"/>
        <w:rPr>
          <w:rFonts w:ascii="宋体" w:hAnsi="Times New Roman"/>
          <w:szCs w:val="20"/>
        </w:rPr>
      </w:pPr>
      <w:r>
        <w:rPr>
          <w:rFonts w:hint="eastAsia" w:ascii="宋体" w:hAnsi="Times New Roman"/>
          <w:szCs w:val="20"/>
        </w:rPr>
        <w:t>被授权人（供应商授权代表）无转委托权限。</w:t>
      </w:r>
    </w:p>
    <w:p w14:paraId="42D5D08F">
      <w:pPr>
        <w:widowControl/>
        <w:shd w:val="clear" w:color="auto" w:fill="FFFFFF"/>
        <w:adjustRightInd w:val="0"/>
        <w:snapToGrid w:val="0"/>
        <w:spacing w:line="360" w:lineRule="auto"/>
        <w:ind w:firstLine="420" w:firstLineChars="200"/>
        <w:rPr>
          <w:rFonts w:ascii="宋体" w:hAnsi="Times New Roman" w:cs="宋体"/>
          <w:kern w:val="0"/>
          <w:szCs w:val="21"/>
        </w:rPr>
      </w:pPr>
      <w:r>
        <w:rPr>
          <w:rFonts w:hint="eastAsia" w:ascii="宋体" w:hAnsi="Times New Roman" w:cs="宋体"/>
          <w:kern w:val="0"/>
          <w:szCs w:val="21"/>
        </w:rPr>
        <w:t>本授权书自法定代表人签字之日起生效，特此声明。</w:t>
      </w:r>
    </w:p>
    <w:p w14:paraId="3D623F65">
      <w:pPr>
        <w:widowControl/>
        <w:shd w:val="clear" w:color="auto" w:fill="FFFFFF"/>
        <w:adjustRightInd w:val="0"/>
        <w:snapToGrid w:val="0"/>
        <w:spacing w:line="360" w:lineRule="auto"/>
        <w:ind w:firstLine="422" w:firstLineChars="200"/>
        <w:rPr>
          <w:rFonts w:ascii="宋体" w:hAnsi="Times New Roman" w:cs="宋体"/>
          <w:b/>
          <w:kern w:val="0"/>
          <w:szCs w:val="21"/>
        </w:rPr>
      </w:pPr>
      <w:r>
        <w:rPr>
          <w:rFonts w:hint="eastAsia" w:ascii="宋体" w:hAnsi="Times New Roman" w:cs="宋体"/>
          <w:b/>
          <w:kern w:val="0"/>
          <w:szCs w:val="21"/>
        </w:rPr>
        <w:t>随附《法定代表人证明》</w:t>
      </w:r>
    </w:p>
    <w:p w14:paraId="4513E61D">
      <w:pPr>
        <w:widowControl/>
        <w:shd w:val="clear" w:color="auto" w:fill="FFFFFF"/>
        <w:adjustRightInd w:val="0"/>
        <w:snapToGrid w:val="0"/>
        <w:spacing w:line="360" w:lineRule="auto"/>
        <w:ind w:firstLine="422" w:firstLineChars="200"/>
        <w:rPr>
          <w:rFonts w:ascii="宋体" w:hAnsi="Times New Roman" w:cs="宋体"/>
          <w:b/>
          <w:kern w:val="0"/>
          <w:szCs w:val="21"/>
        </w:rPr>
      </w:pPr>
    </w:p>
    <w:p w14:paraId="06069EA0">
      <w:pPr>
        <w:widowControl/>
        <w:shd w:val="clear" w:color="auto" w:fill="FFFFFF"/>
        <w:adjustRightInd w:val="0"/>
        <w:snapToGrid w:val="0"/>
        <w:spacing w:line="360" w:lineRule="auto"/>
        <w:ind w:firstLine="422" w:firstLineChars="200"/>
        <w:rPr>
          <w:rFonts w:ascii="宋体" w:hAnsi="Times New Roman" w:cs="宋体"/>
          <w:b/>
          <w:kern w:val="0"/>
          <w:szCs w:val="21"/>
        </w:rPr>
      </w:pPr>
    </w:p>
    <w:p w14:paraId="56C81FBB">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单位名称：</w:t>
      </w:r>
      <w:r>
        <w:rPr>
          <w:rFonts w:ascii="宋体" w:hAnsi="Times New Roman" w:cs="宋体"/>
          <w:kern w:val="0"/>
          <w:u w:val="single"/>
        </w:rPr>
        <w:t>___________________________________________________________________</w:t>
      </w:r>
    </w:p>
    <w:p w14:paraId="0B8CFE8C">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法定代表人（签名或盖章）：</w:t>
      </w:r>
      <w:r>
        <w:rPr>
          <w:rFonts w:ascii="宋体" w:hAnsi="Times New Roman" w:cs="宋体"/>
          <w:kern w:val="0"/>
        </w:rPr>
        <w:t xml:space="preserve"> </w:t>
      </w:r>
      <w:r>
        <w:rPr>
          <w:rFonts w:ascii="宋体" w:hAnsi="Times New Roman" w:cs="宋体"/>
          <w:kern w:val="0"/>
          <w:u w:val="single"/>
        </w:rPr>
        <w:t>__________________________________________________</w:t>
      </w:r>
    </w:p>
    <w:p w14:paraId="548E4FCF">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供应商授权代表（签名或盖章）：</w:t>
      </w:r>
      <w:r>
        <w:rPr>
          <w:rFonts w:ascii="宋体" w:hAnsi="Times New Roman" w:cs="宋体"/>
          <w:kern w:val="0"/>
          <w:u w:val="single"/>
        </w:rPr>
        <w:t>_______________________________________________</w:t>
      </w:r>
    </w:p>
    <w:p w14:paraId="685940B0">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单位地址：</w:t>
      </w:r>
      <w:r>
        <w:rPr>
          <w:rFonts w:ascii="宋体" w:hAnsi="Times New Roman" w:cs="宋体"/>
          <w:kern w:val="0"/>
          <w:u w:val="single"/>
        </w:rPr>
        <w:t>___________________________________________________________________</w:t>
      </w:r>
    </w:p>
    <w:p w14:paraId="6E282171">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单位公章：</w:t>
      </w:r>
      <w:r>
        <w:rPr>
          <w:rFonts w:ascii="宋体" w:hAnsi="Times New Roman" w:cs="宋体"/>
          <w:kern w:val="0"/>
          <w:u w:val="single"/>
        </w:rPr>
        <w:t>___________________________________________________________________</w:t>
      </w:r>
    </w:p>
    <w:p w14:paraId="330DD1C3">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邮政编码：</w:t>
      </w:r>
      <w:r>
        <w:rPr>
          <w:rFonts w:ascii="宋体" w:hAnsi="Times New Roman" w:cs="宋体"/>
          <w:kern w:val="0"/>
          <w:u w:val="single"/>
        </w:rPr>
        <w:t>______________________________</w:t>
      </w:r>
      <w:r>
        <w:rPr>
          <w:rFonts w:hint="eastAsia" w:ascii="宋体" w:hAnsi="Times New Roman" w:cs="宋体"/>
          <w:kern w:val="0"/>
        </w:rPr>
        <w:t>日期：</w:t>
      </w:r>
      <w:r>
        <w:rPr>
          <w:rFonts w:ascii="宋体" w:hAnsi="Times New Roman" w:cs="宋体"/>
          <w:kern w:val="0"/>
          <w:u w:val="single"/>
        </w:rPr>
        <w:t>_______________________________</w:t>
      </w:r>
    </w:p>
    <w:p w14:paraId="090351FE">
      <w:pPr>
        <w:widowControl/>
        <w:shd w:val="clear" w:color="auto" w:fill="FFFFFF"/>
        <w:adjustRightInd w:val="0"/>
        <w:snapToGrid w:val="0"/>
        <w:spacing w:line="360" w:lineRule="auto"/>
        <w:ind w:firstLine="424" w:firstLineChars="202"/>
        <w:rPr>
          <w:rFonts w:ascii="宋体" w:hAnsi="Times New Roman" w:cs="宋体"/>
          <w:kern w:val="0"/>
          <w:szCs w:val="21"/>
        </w:rPr>
      </w:pPr>
      <w:r>
        <w:rPr>
          <w:rFonts w:hint="eastAsia" w:ascii="宋体" w:hAnsi="Times New Roman" w:cs="宋体"/>
          <w:kern w:val="0"/>
        </w:rPr>
        <w:t>联系电话：</w:t>
      </w:r>
      <w:r>
        <w:rPr>
          <w:rFonts w:ascii="宋体" w:hAnsi="Times New Roman" w:cs="宋体"/>
          <w:kern w:val="0"/>
          <w:u w:val="single"/>
        </w:rPr>
        <w:t>______________________________</w:t>
      </w:r>
      <w:r>
        <w:rPr>
          <w:rFonts w:hint="eastAsia" w:ascii="宋体" w:hAnsi="Times New Roman" w:cs="宋体"/>
          <w:kern w:val="0"/>
        </w:rPr>
        <w:t>邮箱：</w:t>
      </w:r>
      <w:r>
        <w:rPr>
          <w:rFonts w:ascii="宋体" w:hAnsi="Times New Roman" w:cs="宋体"/>
          <w:kern w:val="0"/>
          <w:u w:val="single"/>
        </w:rPr>
        <w:t>_______________________________</w:t>
      </w:r>
    </w:p>
    <w:p w14:paraId="0EB9F682">
      <w:pPr>
        <w:widowControl/>
        <w:shd w:val="clear" w:color="auto" w:fill="FFFFFF"/>
        <w:adjustRightInd w:val="0"/>
        <w:snapToGrid w:val="0"/>
        <w:spacing w:line="360" w:lineRule="auto"/>
        <w:ind w:firstLine="424" w:firstLineChars="202"/>
        <w:rPr>
          <w:rFonts w:ascii="宋体" w:hAnsi="Times New Roman" w:cs="宋体"/>
          <w:kern w:val="0"/>
          <w:szCs w:val="21"/>
        </w:rPr>
      </w:pPr>
    </w:p>
    <w:p w14:paraId="6937BE94">
      <w:pPr>
        <w:widowControl/>
        <w:shd w:val="clear" w:color="auto" w:fill="FFFFFF"/>
        <w:adjustRightInd w:val="0"/>
        <w:snapToGrid w:val="0"/>
        <w:spacing w:line="360" w:lineRule="auto"/>
        <w:ind w:firstLine="424" w:firstLineChars="202"/>
        <w:rPr>
          <w:rFonts w:ascii="宋体" w:hAnsi="Times New Roman" w:cs="宋体"/>
          <w:kern w:val="0"/>
          <w:szCs w:val="21"/>
        </w:rPr>
      </w:pPr>
      <w:r>
        <w:rPr>
          <w:rFonts w:hint="eastAsia" w:ascii="宋体" w:hAnsi="Times New Roman" w:cs="宋体"/>
          <w:kern w:val="0"/>
          <w:szCs w:val="21"/>
        </w:rPr>
        <w:t>附：被授权人身份证复印件：</w:t>
      </w:r>
    </w:p>
    <w:p w14:paraId="25B1FF31">
      <w:pPr>
        <w:widowControl/>
        <w:shd w:val="clear" w:color="auto" w:fill="FFFFFF"/>
        <w:adjustRightInd w:val="0"/>
        <w:snapToGrid w:val="0"/>
        <w:spacing w:line="360" w:lineRule="auto"/>
        <w:ind w:firstLine="424" w:firstLineChars="202"/>
        <w:rPr>
          <w:rFonts w:ascii="宋体" w:hAnsi="Times New Roman" w:cs="宋体"/>
          <w:kern w:val="0"/>
          <w:szCs w:val="21"/>
        </w:rPr>
      </w:pPr>
    </w:p>
    <w:p w14:paraId="47EEDC5E">
      <w:pPr>
        <w:widowControl/>
        <w:shd w:val="clear" w:color="auto" w:fill="FFFFFF"/>
        <w:adjustRightInd w:val="0"/>
        <w:snapToGrid w:val="0"/>
        <w:spacing w:line="300" w:lineRule="auto"/>
        <w:jc w:val="center"/>
        <w:rPr>
          <w:rFonts w:ascii="宋体" w:hAnsi="Times New Roman" w:cs="宋体"/>
          <w:kern w:val="0"/>
        </w:rPr>
      </w:pPr>
      <w:r>
        <w:br w:type="page"/>
      </w:r>
    </w:p>
    <w:p w14:paraId="1CC7238C">
      <w:pPr>
        <w:pStyle w:val="5"/>
        <w:numPr>
          <w:ilvl w:val="0"/>
          <w:numId w:val="0"/>
        </w:numPr>
      </w:pPr>
      <w:bookmarkStart w:id="265" w:name="_Toc7722"/>
      <w:bookmarkStart w:id="266" w:name="_Toc151802157"/>
      <w:r>
        <w:t>6.</w:t>
      </w:r>
      <w:r>
        <w:rPr>
          <w:rFonts w:hint="eastAsia"/>
        </w:rPr>
        <w:t>报价总表</w:t>
      </w:r>
      <w:r>
        <w:t>(</w:t>
      </w:r>
      <w:r>
        <w:rPr>
          <w:rFonts w:hint="eastAsia"/>
        </w:rPr>
        <w:t>首次</w:t>
      </w:r>
      <w:r>
        <w:t>)</w:t>
      </w:r>
      <w:bookmarkEnd w:id="265"/>
      <w:bookmarkEnd w:id="266"/>
    </w:p>
    <w:p w14:paraId="729060FC">
      <w:pPr>
        <w:spacing w:line="360" w:lineRule="auto"/>
        <w:jc w:val="center"/>
      </w:pPr>
      <w:r>
        <w:rPr>
          <w:rFonts w:hint="eastAsia" w:ascii="宋体" w:hAnsi="宋体" w:cs="宋体"/>
          <w:b/>
          <w:sz w:val="24"/>
        </w:rPr>
        <w:t>报价总表</w:t>
      </w:r>
      <w:r>
        <w:rPr>
          <w:rFonts w:ascii="宋体" w:hAnsi="宋体" w:cs="宋体"/>
          <w:b/>
          <w:sz w:val="24"/>
        </w:rPr>
        <w:t>(</w:t>
      </w:r>
      <w:r>
        <w:rPr>
          <w:rFonts w:hint="eastAsia" w:ascii="宋体" w:hAnsi="宋体" w:cs="宋体"/>
          <w:b/>
          <w:sz w:val="24"/>
        </w:rPr>
        <w:t>首次</w:t>
      </w:r>
      <w:r>
        <w:rPr>
          <w:rFonts w:ascii="宋体" w:hAnsi="宋体" w:cs="宋体"/>
          <w:b/>
          <w:sz w:val="24"/>
        </w:rPr>
        <w:t>)</w:t>
      </w:r>
    </w:p>
    <w:p w14:paraId="26EA7F62">
      <w:pPr>
        <w:spacing w:before="156" w:after="156"/>
        <w:rPr>
          <w:rFonts w:ascii="宋体" w:hAnsi="宋体" w:cs="宋体"/>
          <w:b/>
          <w:bCs/>
          <w:kern w:val="0"/>
          <w:sz w:val="24"/>
        </w:rPr>
      </w:pPr>
    </w:p>
    <w:p w14:paraId="6FE05101">
      <w:pPr>
        <w:spacing w:line="360" w:lineRule="auto"/>
        <w:ind w:firstLine="480" w:firstLineChars="200"/>
        <w:rPr>
          <w:sz w:val="24"/>
          <w:u w:val="single"/>
        </w:rPr>
      </w:pPr>
      <w:r>
        <w:rPr>
          <w:rFonts w:hint="eastAsia"/>
          <w:sz w:val="24"/>
        </w:rPr>
        <w:t>供应商名称：</w:t>
      </w:r>
      <w:r>
        <w:rPr>
          <w:sz w:val="24"/>
        </w:rPr>
        <w:t xml:space="preserve"> </w:t>
      </w:r>
      <w:r>
        <w:rPr>
          <w:sz w:val="24"/>
          <w:u w:val="single"/>
        </w:rPr>
        <w:t xml:space="preserve">               </w:t>
      </w:r>
      <w:r>
        <w:rPr>
          <w:sz w:val="24"/>
        </w:rPr>
        <w:t xml:space="preserve"> </w:t>
      </w:r>
      <w:r>
        <w:rPr>
          <w:rFonts w:hint="eastAsia"/>
          <w:sz w:val="24"/>
        </w:rPr>
        <w:t>项目编号：</w:t>
      </w:r>
      <w:r>
        <w:rPr>
          <w:sz w:val="24"/>
          <w:u w:val="single"/>
        </w:rPr>
        <w:t xml:space="preserve">             </w:t>
      </w:r>
    </w:p>
    <w:tbl>
      <w:tblPr>
        <w:tblStyle w:val="50"/>
        <w:tblW w:w="81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73"/>
        <w:gridCol w:w="3240"/>
        <w:gridCol w:w="1800"/>
      </w:tblGrid>
      <w:tr w14:paraId="176F7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073" w:type="dxa"/>
            <w:tcBorders>
              <w:top w:val="single" w:color="auto" w:sz="4" w:space="0"/>
              <w:left w:val="single" w:color="auto" w:sz="4" w:space="0"/>
              <w:bottom w:val="single" w:color="auto" w:sz="4" w:space="0"/>
              <w:right w:val="single" w:color="auto" w:sz="4" w:space="0"/>
            </w:tcBorders>
            <w:vAlign w:val="bottom"/>
          </w:tcPr>
          <w:p w14:paraId="03FBD345">
            <w:pPr>
              <w:tabs>
                <w:tab w:val="left" w:pos="654"/>
                <w:tab w:val="left" w:pos="1734"/>
                <w:tab w:val="left" w:pos="2814"/>
                <w:tab w:val="left" w:pos="3894"/>
                <w:tab w:val="left" w:pos="5334"/>
                <w:tab w:val="left" w:pos="6414"/>
                <w:tab w:val="left" w:pos="7254"/>
                <w:tab w:val="left" w:pos="8574"/>
                <w:tab w:val="left" w:pos="9654"/>
              </w:tabs>
              <w:spacing w:line="400" w:lineRule="exact"/>
              <w:jc w:val="center"/>
              <w:rPr>
                <w:sz w:val="24"/>
              </w:rPr>
            </w:pPr>
            <w:r>
              <w:rPr>
                <w:rFonts w:hint="eastAsia"/>
                <w:sz w:val="24"/>
              </w:rPr>
              <w:t>项目名称</w:t>
            </w:r>
          </w:p>
        </w:tc>
        <w:tc>
          <w:tcPr>
            <w:tcW w:w="3240" w:type="dxa"/>
            <w:tcBorders>
              <w:top w:val="single" w:color="auto" w:sz="4" w:space="0"/>
              <w:left w:val="single" w:color="auto" w:sz="4" w:space="0"/>
              <w:bottom w:val="single" w:color="auto" w:sz="4" w:space="0"/>
              <w:right w:val="single" w:color="auto" w:sz="4" w:space="0"/>
            </w:tcBorders>
            <w:vAlign w:val="bottom"/>
          </w:tcPr>
          <w:p w14:paraId="036BAB18">
            <w:pPr>
              <w:tabs>
                <w:tab w:val="left" w:pos="654"/>
                <w:tab w:val="left" w:pos="1734"/>
                <w:tab w:val="left" w:pos="2814"/>
                <w:tab w:val="left" w:pos="3894"/>
                <w:tab w:val="left" w:pos="5334"/>
                <w:tab w:val="left" w:pos="6414"/>
                <w:tab w:val="left" w:pos="7254"/>
                <w:tab w:val="left" w:pos="8574"/>
                <w:tab w:val="left" w:pos="9654"/>
              </w:tabs>
              <w:spacing w:line="400" w:lineRule="exact"/>
              <w:jc w:val="center"/>
              <w:rPr>
                <w:sz w:val="24"/>
              </w:rPr>
            </w:pPr>
            <w:r>
              <w:rPr>
                <w:rFonts w:hint="eastAsia"/>
                <w:sz w:val="24"/>
              </w:rPr>
              <w:t>响应报价合计（元）</w:t>
            </w:r>
          </w:p>
        </w:tc>
        <w:tc>
          <w:tcPr>
            <w:tcW w:w="1800" w:type="dxa"/>
            <w:tcBorders>
              <w:top w:val="single" w:color="auto" w:sz="4" w:space="0"/>
              <w:left w:val="single" w:color="auto" w:sz="4" w:space="0"/>
              <w:bottom w:val="single" w:color="auto" w:sz="4" w:space="0"/>
              <w:right w:val="single" w:color="auto" w:sz="4" w:space="0"/>
            </w:tcBorders>
            <w:vAlign w:val="bottom"/>
          </w:tcPr>
          <w:p w14:paraId="78874B3F">
            <w:pPr>
              <w:tabs>
                <w:tab w:val="left" w:pos="654"/>
                <w:tab w:val="left" w:pos="1734"/>
                <w:tab w:val="left" w:pos="2814"/>
                <w:tab w:val="left" w:pos="3894"/>
                <w:tab w:val="left" w:pos="5334"/>
                <w:tab w:val="left" w:pos="6414"/>
                <w:tab w:val="left" w:pos="7254"/>
                <w:tab w:val="left" w:pos="8574"/>
                <w:tab w:val="left" w:pos="9654"/>
              </w:tabs>
              <w:spacing w:line="400" w:lineRule="exact"/>
              <w:jc w:val="center"/>
              <w:rPr>
                <w:sz w:val="24"/>
              </w:rPr>
            </w:pPr>
            <w:r>
              <w:rPr>
                <w:rFonts w:hint="eastAsia"/>
                <w:sz w:val="24"/>
              </w:rPr>
              <w:t>备注</w:t>
            </w:r>
          </w:p>
        </w:tc>
      </w:tr>
      <w:tr w14:paraId="697FF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073" w:type="dxa"/>
            <w:tcBorders>
              <w:top w:val="single" w:color="auto" w:sz="4" w:space="0"/>
              <w:left w:val="single" w:color="auto" w:sz="4" w:space="0"/>
              <w:bottom w:val="single" w:color="auto" w:sz="4" w:space="0"/>
              <w:right w:val="single" w:color="auto" w:sz="4" w:space="0"/>
            </w:tcBorders>
          </w:tcPr>
          <w:p w14:paraId="69A80499">
            <w:pPr>
              <w:tabs>
                <w:tab w:val="left" w:pos="654"/>
                <w:tab w:val="left" w:pos="1734"/>
                <w:tab w:val="left" w:pos="2814"/>
                <w:tab w:val="left" w:pos="3894"/>
                <w:tab w:val="left" w:pos="5334"/>
                <w:tab w:val="left" w:pos="6414"/>
                <w:tab w:val="left" w:pos="7254"/>
                <w:tab w:val="left" w:pos="8574"/>
                <w:tab w:val="left" w:pos="9654"/>
              </w:tabs>
              <w:spacing w:line="400" w:lineRule="exact"/>
              <w:jc w:val="center"/>
              <w:rPr>
                <w:sz w:val="24"/>
              </w:rPr>
            </w:pPr>
            <w:r>
              <w:rPr>
                <w:rFonts w:hint="eastAsia"/>
                <w:sz w:val="24"/>
              </w:rPr>
              <w:t>皇岗海关29栋、31栋、33栋、34栋公有住房修缮项目</w:t>
            </w:r>
          </w:p>
        </w:tc>
        <w:tc>
          <w:tcPr>
            <w:tcW w:w="3240" w:type="dxa"/>
            <w:tcBorders>
              <w:top w:val="single" w:color="auto" w:sz="4" w:space="0"/>
              <w:left w:val="single" w:color="auto" w:sz="4" w:space="0"/>
              <w:bottom w:val="single" w:color="auto" w:sz="4" w:space="0"/>
              <w:right w:val="single" w:color="auto" w:sz="4" w:space="0"/>
            </w:tcBorders>
            <w:vAlign w:val="center"/>
          </w:tcPr>
          <w:p w14:paraId="5CA8E29E">
            <w:pPr>
              <w:rPr>
                <w:rFonts w:ascii="仿宋_GB2312" w:eastAsia="仿宋_GB2312"/>
                <w:szCs w:val="21"/>
              </w:rPr>
            </w:pPr>
            <w:r>
              <w:rPr>
                <w:rFonts w:hint="eastAsia" w:ascii="仿宋_GB2312" w:eastAsia="仿宋_GB2312"/>
                <w:szCs w:val="21"/>
              </w:rPr>
              <w:t>大写：</w:t>
            </w:r>
          </w:p>
          <w:p w14:paraId="68381552">
            <w:pPr>
              <w:tabs>
                <w:tab w:val="left" w:pos="654"/>
                <w:tab w:val="left" w:pos="1734"/>
                <w:tab w:val="left" w:pos="2814"/>
                <w:tab w:val="left" w:pos="3894"/>
                <w:tab w:val="left" w:pos="5334"/>
                <w:tab w:val="left" w:pos="6414"/>
                <w:tab w:val="left" w:pos="7254"/>
                <w:tab w:val="left" w:pos="8574"/>
                <w:tab w:val="left" w:pos="9654"/>
              </w:tabs>
              <w:spacing w:line="400" w:lineRule="exact"/>
              <w:rPr>
                <w:sz w:val="24"/>
              </w:rPr>
            </w:pPr>
            <w:r>
              <w:rPr>
                <w:rFonts w:hint="eastAsia" w:ascii="仿宋_GB2312" w:eastAsia="仿宋_GB2312"/>
                <w:szCs w:val="21"/>
              </w:rPr>
              <w:t>小写：</w:t>
            </w:r>
          </w:p>
        </w:tc>
        <w:tc>
          <w:tcPr>
            <w:tcW w:w="1800" w:type="dxa"/>
            <w:tcBorders>
              <w:top w:val="single" w:color="auto" w:sz="4" w:space="0"/>
              <w:left w:val="single" w:color="auto" w:sz="4" w:space="0"/>
              <w:bottom w:val="single" w:color="auto" w:sz="4" w:space="0"/>
              <w:right w:val="single" w:color="auto" w:sz="4" w:space="0"/>
            </w:tcBorders>
          </w:tcPr>
          <w:p w14:paraId="1AFBD487">
            <w:pPr>
              <w:tabs>
                <w:tab w:val="left" w:pos="654"/>
                <w:tab w:val="left" w:pos="1734"/>
                <w:tab w:val="left" w:pos="2814"/>
                <w:tab w:val="left" w:pos="3894"/>
                <w:tab w:val="left" w:pos="5334"/>
                <w:tab w:val="left" w:pos="6414"/>
                <w:tab w:val="left" w:pos="7254"/>
                <w:tab w:val="left" w:pos="8574"/>
                <w:tab w:val="left" w:pos="9654"/>
              </w:tabs>
              <w:spacing w:line="400" w:lineRule="exact"/>
              <w:rPr>
                <w:sz w:val="24"/>
              </w:rPr>
            </w:pPr>
          </w:p>
        </w:tc>
      </w:tr>
    </w:tbl>
    <w:p w14:paraId="4EA30A43">
      <w:pPr>
        <w:spacing w:line="400" w:lineRule="exact"/>
        <w:rPr>
          <w:sz w:val="24"/>
        </w:rPr>
      </w:pPr>
    </w:p>
    <w:p w14:paraId="4719634E">
      <w:pPr>
        <w:ind w:firstLine="420"/>
        <w:rPr>
          <w:sz w:val="24"/>
        </w:rPr>
      </w:pPr>
    </w:p>
    <w:p w14:paraId="1CBF3315">
      <w:pPr>
        <w:ind w:firstLine="420"/>
        <w:rPr>
          <w:sz w:val="24"/>
        </w:rPr>
      </w:pPr>
    </w:p>
    <w:p w14:paraId="189C3AF7">
      <w:pPr>
        <w:ind w:firstLine="480" w:firstLineChars="200"/>
        <w:rPr>
          <w:sz w:val="24"/>
        </w:rPr>
      </w:pPr>
      <w:r>
        <w:rPr>
          <w:rFonts w:hint="eastAsia"/>
          <w:sz w:val="24"/>
        </w:rPr>
        <w:t>供应商名称（盖公章）：</w:t>
      </w:r>
    </w:p>
    <w:p w14:paraId="48B4D342">
      <w:pPr>
        <w:ind w:firstLine="480" w:firstLineChars="200"/>
        <w:rPr>
          <w:sz w:val="24"/>
        </w:rPr>
      </w:pPr>
    </w:p>
    <w:p w14:paraId="43849669">
      <w:pPr>
        <w:ind w:firstLine="480" w:firstLineChars="200"/>
        <w:rPr>
          <w:sz w:val="24"/>
        </w:rPr>
      </w:pPr>
      <w:r>
        <w:rPr>
          <w:rFonts w:hint="eastAsia"/>
          <w:sz w:val="24"/>
        </w:rPr>
        <w:t>法定代表人或供应商授权代表（签名或盖章）：</w:t>
      </w:r>
    </w:p>
    <w:p w14:paraId="289E7D7E">
      <w:pPr>
        <w:ind w:firstLine="480" w:firstLineChars="200"/>
        <w:rPr>
          <w:sz w:val="24"/>
        </w:rPr>
      </w:pPr>
    </w:p>
    <w:p w14:paraId="04887081">
      <w:pPr>
        <w:ind w:firstLine="480" w:firstLineChars="200"/>
        <w:rPr>
          <w:sz w:val="24"/>
        </w:rPr>
      </w:pPr>
      <w:r>
        <w:rPr>
          <w:rFonts w:hint="eastAsia"/>
          <w:sz w:val="24"/>
        </w:rPr>
        <w:t>日期：</w:t>
      </w:r>
    </w:p>
    <w:p w14:paraId="2A28EBFA">
      <w:pPr>
        <w:rPr>
          <w:rFonts w:ascii="宋体" w:hAnsi="宋体"/>
          <w:sz w:val="24"/>
        </w:rPr>
      </w:pPr>
    </w:p>
    <w:p w14:paraId="4F5C18D1">
      <w:pPr>
        <w:spacing w:before="156" w:after="156"/>
        <w:ind w:firstLine="482" w:firstLineChars="200"/>
        <w:rPr>
          <w:rFonts w:ascii="宋体" w:hAnsi="宋体" w:cs="宋体"/>
          <w:b/>
          <w:bCs/>
          <w:kern w:val="0"/>
          <w:sz w:val="24"/>
        </w:rPr>
      </w:pPr>
    </w:p>
    <w:p w14:paraId="0E1EA374">
      <w:pPr>
        <w:widowControl/>
        <w:jc w:val="left"/>
        <w:rPr>
          <w:rFonts w:ascii="宋体" w:hAnsi="宋体" w:cs="宋体"/>
          <w:b/>
          <w:bCs/>
          <w:kern w:val="0"/>
          <w:sz w:val="24"/>
        </w:rPr>
      </w:pPr>
      <w:r>
        <w:br w:type="page"/>
      </w:r>
    </w:p>
    <w:p w14:paraId="3F4475CE">
      <w:pPr>
        <w:pStyle w:val="5"/>
        <w:numPr>
          <w:ilvl w:val="0"/>
          <w:numId w:val="0"/>
        </w:numPr>
      </w:pPr>
      <w:bookmarkStart w:id="267" w:name="_Toc151802158"/>
      <w:bookmarkStart w:id="268" w:name="_Toc19899"/>
      <w:r>
        <w:rPr>
          <w:rFonts w:hint="eastAsia"/>
        </w:rPr>
        <w:t>7.工程量清单报价格式</w:t>
      </w:r>
      <w:bookmarkEnd w:id="267"/>
      <w:r>
        <w:rPr>
          <w:rFonts w:hint="eastAsia"/>
        </w:rPr>
        <w:t>（仅供参考）</w:t>
      </w:r>
      <w:bookmarkEnd w:id="268"/>
    </w:p>
    <w:p w14:paraId="7E1E921E">
      <w:pPr>
        <w:keepNext/>
        <w:keepLines/>
        <w:spacing w:before="280" w:after="290" w:line="376" w:lineRule="auto"/>
        <w:outlineLvl w:val="3"/>
        <w:rPr>
          <w:rFonts w:ascii="Arial" w:hAnsi="Arial" w:eastAsia="黑体"/>
          <w:b/>
          <w:bCs/>
          <w:sz w:val="28"/>
          <w:szCs w:val="28"/>
        </w:rPr>
      </w:pPr>
      <w:r>
        <w:rPr>
          <w:rFonts w:hint="eastAsia" w:ascii="Arial" w:hAnsi="Arial" w:eastAsia="黑体"/>
          <w:b/>
          <w:bCs/>
          <w:sz w:val="28"/>
          <w:szCs w:val="28"/>
        </w:rPr>
        <w:t>（1）工程项目磋商价汇总表</w:t>
      </w:r>
    </w:p>
    <w:tbl>
      <w:tblPr>
        <w:tblStyle w:val="50"/>
        <w:tblW w:w="8379" w:type="dxa"/>
        <w:tblInd w:w="93" w:type="dxa"/>
        <w:tblLayout w:type="autofit"/>
        <w:tblCellMar>
          <w:top w:w="0" w:type="dxa"/>
          <w:left w:w="108" w:type="dxa"/>
          <w:bottom w:w="0" w:type="dxa"/>
          <w:right w:w="108" w:type="dxa"/>
        </w:tblCellMar>
      </w:tblPr>
      <w:tblGrid>
        <w:gridCol w:w="472"/>
        <w:gridCol w:w="3087"/>
        <w:gridCol w:w="992"/>
        <w:gridCol w:w="1134"/>
        <w:gridCol w:w="1351"/>
        <w:gridCol w:w="67"/>
        <w:gridCol w:w="1276"/>
      </w:tblGrid>
      <w:tr w14:paraId="21C3D7F7">
        <w:tblPrEx>
          <w:tblCellMar>
            <w:top w:w="0" w:type="dxa"/>
            <w:left w:w="108" w:type="dxa"/>
            <w:bottom w:w="0" w:type="dxa"/>
            <w:right w:w="108" w:type="dxa"/>
          </w:tblCellMar>
        </w:tblPrEx>
        <w:trPr>
          <w:trHeight w:val="668" w:hRule="atLeast"/>
        </w:trPr>
        <w:tc>
          <w:tcPr>
            <w:tcW w:w="7036" w:type="dxa"/>
            <w:gridSpan w:val="5"/>
            <w:tcBorders>
              <w:top w:val="nil"/>
              <w:left w:val="nil"/>
              <w:bottom w:val="nil"/>
              <w:right w:val="nil"/>
            </w:tcBorders>
            <w:shd w:val="clear" w:color="auto" w:fill="auto"/>
            <w:vAlign w:val="bottom"/>
          </w:tcPr>
          <w:p w14:paraId="34DCA8F9">
            <w:pPr>
              <w:widowControl/>
              <w:jc w:val="left"/>
              <w:rPr>
                <w:rFonts w:ascii="宋体" w:hAnsi="宋体" w:cs="宋体"/>
                <w:kern w:val="0"/>
                <w:sz w:val="20"/>
                <w:szCs w:val="20"/>
              </w:rPr>
            </w:pPr>
            <w:r>
              <w:rPr>
                <w:rFonts w:hint="eastAsia" w:ascii="宋体" w:hAnsi="宋体" w:cs="宋体"/>
                <w:kern w:val="0"/>
                <w:sz w:val="20"/>
                <w:szCs w:val="20"/>
              </w:rPr>
              <w:t>工程名称</w:t>
            </w:r>
            <w:r>
              <w:rPr>
                <w:rFonts w:ascii="宋体" w:hAnsi="宋体" w:cs="宋体"/>
                <w:kern w:val="0"/>
                <w:sz w:val="20"/>
                <w:szCs w:val="20"/>
              </w:rPr>
              <w:t xml:space="preserve">:           </w:t>
            </w:r>
          </w:p>
        </w:tc>
        <w:tc>
          <w:tcPr>
            <w:tcW w:w="1343" w:type="dxa"/>
            <w:gridSpan w:val="2"/>
            <w:tcBorders>
              <w:top w:val="nil"/>
              <w:left w:val="nil"/>
              <w:bottom w:val="nil"/>
              <w:right w:val="nil"/>
            </w:tcBorders>
            <w:shd w:val="clear" w:color="auto" w:fill="auto"/>
            <w:vAlign w:val="bottom"/>
          </w:tcPr>
          <w:p w14:paraId="04544E5E">
            <w:pPr>
              <w:widowControl/>
              <w:ind w:right="300"/>
              <w:jc w:val="right"/>
              <w:rPr>
                <w:rFonts w:ascii="宋体" w:hAnsi="宋体" w:cs="宋体"/>
                <w:kern w:val="0"/>
                <w:sz w:val="20"/>
                <w:szCs w:val="20"/>
              </w:rPr>
            </w:pPr>
            <w:r>
              <w:rPr>
                <w:rFonts w:hint="eastAsia" w:ascii="宋体" w:hAnsi="宋体" w:cs="宋体"/>
                <w:kern w:val="0"/>
                <w:sz w:val="20"/>
                <w:szCs w:val="20"/>
              </w:rPr>
              <w:t>第</w:t>
            </w:r>
            <w:r>
              <w:rPr>
                <w:rFonts w:ascii="宋体" w:hAnsi="宋体" w:cs="宋体"/>
                <w:kern w:val="0"/>
                <w:sz w:val="20"/>
                <w:szCs w:val="20"/>
              </w:rPr>
              <w:t xml:space="preserve">1页 </w:t>
            </w:r>
            <w:r>
              <w:rPr>
                <w:rFonts w:hint="eastAsia" w:ascii="宋体" w:hAnsi="宋体" w:cs="宋体"/>
                <w:kern w:val="0"/>
                <w:sz w:val="20"/>
                <w:szCs w:val="20"/>
              </w:rPr>
              <w:t>共</w:t>
            </w:r>
            <w:r>
              <w:rPr>
                <w:rFonts w:ascii="宋体" w:hAnsi="宋体" w:cs="宋体"/>
                <w:kern w:val="0"/>
                <w:sz w:val="20"/>
                <w:szCs w:val="20"/>
              </w:rPr>
              <w:t>1页</w:t>
            </w:r>
          </w:p>
        </w:tc>
      </w:tr>
      <w:tr w14:paraId="35E62D7E">
        <w:tblPrEx>
          <w:tblCellMar>
            <w:top w:w="0" w:type="dxa"/>
            <w:left w:w="108" w:type="dxa"/>
            <w:bottom w:w="0" w:type="dxa"/>
            <w:right w:w="108" w:type="dxa"/>
          </w:tblCellMar>
        </w:tblPrEx>
        <w:trPr>
          <w:trHeight w:val="372" w:hRule="atLeast"/>
        </w:trPr>
        <w:tc>
          <w:tcPr>
            <w:tcW w:w="472" w:type="dxa"/>
            <w:vMerge w:val="restart"/>
            <w:tcBorders>
              <w:top w:val="single" w:color="auto" w:sz="4" w:space="0"/>
              <w:left w:val="single" w:color="auto" w:sz="4" w:space="0"/>
              <w:bottom w:val="single" w:color="000000" w:sz="4" w:space="0"/>
              <w:right w:val="single" w:color="000000" w:sz="4" w:space="0"/>
            </w:tcBorders>
            <w:shd w:val="clear" w:color="000000" w:fill="FFFFFF"/>
            <w:noWrap/>
            <w:vAlign w:val="center"/>
          </w:tcPr>
          <w:p w14:paraId="5CD03BEB">
            <w:pPr>
              <w:widowControl/>
              <w:jc w:val="center"/>
              <w:rPr>
                <w:rFonts w:ascii="宋体" w:hAnsi="宋体" w:cs="宋体"/>
                <w:kern w:val="0"/>
                <w:sz w:val="20"/>
                <w:szCs w:val="20"/>
              </w:rPr>
            </w:pPr>
            <w:r>
              <w:rPr>
                <w:rFonts w:hint="eastAsia" w:ascii="宋体" w:hAnsi="宋体" w:cs="宋体"/>
                <w:kern w:val="0"/>
                <w:sz w:val="20"/>
                <w:szCs w:val="20"/>
              </w:rPr>
              <w:t>序号</w:t>
            </w:r>
          </w:p>
        </w:tc>
        <w:tc>
          <w:tcPr>
            <w:tcW w:w="3087"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14:paraId="0100CD35">
            <w:pPr>
              <w:widowControl/>
              <w:jc w:val="center"/>
              <w:rPr>
                <w:rFonts w:ascii="宋体" w:hAnsi="宋体" w:cs="宋体"/>
                <w:kern w:val="0"/>
                <w:sz w:val="20"/>
                <w:szCs w:val="20"/>
              </w:rPr>
            </w:pPr>
            <w:r>
              <w:rPr>
                <w:rFonts w:hint="eastAsia" w:ascii="宋体" w:hAnsi="宋体" w:cs="宋体"/>
                <w:kern w:val="0"/>
                <w:sz w:val="20"/>
                <w:szCs w:val="20"/>
              </w:rPr>
              <w:t>单项工程名称</w:t>
            </w:r>
          </w:p>
        </w:tc>
        <w:tc>
          <w:tcPr>
            <w:tcW w:w="992" w:type="dxa"/>
            <w:vMerge w:val="restart"/>
            <w:tcBorders>
              <w:top w:val="single" w:color="auto" w:sz="4" w:space="0"/>
              <w:left w:val="single" w:color="000000" w:sz="4" w:space="0"/>
              <w:bottom w:val="single" w:color="000000" w:sz="4" w:space="0"/>
              <w:right w:val="single" w:color="000000" w:sz="4" w:space="0"/>
            </w:tcBorders>
            <w:shd w:val="clear" w:color="000000" w:fill="FFFFFF"/>
            <w:noWrap/>
            <w:vAlign w:val="center"/>
          </w:tcPr>
          <w:p w14:paraId="62F43CFA">
            <w:pPr>
              <w:widowControl/>
              <w:jc w:val="center"/>
              <w:rPr>
                <w:rFonts w:ascii="宋体" w:hAnsi="宋体" w:cs="宋体"/>
                <w:kern w:val="0"/>
                <w:sz w:val="20"/>
                <w:szCs w:val="20"/>
              </w:rPr>
            </w:pPr>
            <w:r>
              <w:rPr>
                <w:rFonts w:hint="eastAsia" w:ascii="宋体" w:hAnsi="宋体" w:cs="宋体"/>
                <w:kern w:val="0"/>
                <w:sz w:val="20"/>
                <w:szCs w:val="20"/>
              </w:rPr>
              <w:t>金额</w:t>
            </w:r>
            <w:r>
              <w:rPr>
                <w:rFonts w:ascii="宋体" w:hAnsi="宋体" w:cs="宋体"/>
                <w:kern w:val="0"/>
                <w:sz w:val="20"/>
                <w:szCs w:val="20"/>
              </w:rPr>
              <w:t>(元)</w:t>
            </w:r>
          </w:p>
        </w:tc>
        <w:tc>
          <w:tcPr>
            <w:tcW w:w="3828" w:type="dxa"/>
            <w:gridSpan w:val="4"/>
            <w:tcBorders>
              <w:top w:val="single" w:color="auto" w:sz="4" w:space="0"/>
              <w:left w:val="nil"/>
              <w:bottom w:val="single" w:color="000000" w:sz="4" w:space="0"/>
              <w:right w:val="single" w:color="000000" w:sz="4" w:space="0"/>
            </w:tcBorders>
            <w:shd w:val="clear" w:color="000000" w:fill="FFFFFF"/>
            <w:vAlign w:val="center"/>
          </w:tcPr>
          <w:p w14:paraId="7AD7A912">
            <w:pPr>
              <w:widowControl/>
              <w:jc w:val="center"/>
              <w:rPr>
                <w:rFonts w:ascii="宋体" w:hAnsi="宋体" w:cs="宋体"/>
                <w:kern w:val="0"/>
                <w:sz w:val="20"/>
                <w:szCs w:val="20"/>
              </w:rPr>
            </w:pPr>
            <w:r>
              <w:rPr>
                <w:rFonts w:hint="eastAsia" w:ascii="宋体" w:hAnsi="宋体" w:cs="宋体"/>
                <w:kern w:val="0"/>
                <w:sz w:val="20"/>
                <w:szCs w:val="20"/>
              </w:rPr>
              <w:t>其中</w:t>
            </w:r>
          </w:p>
        </w:tc>
      </w:tr>
      <w:tr w14:paraId="54F837DD">
        <w:tblPrEx>
          <w:tblCellMar>
            <w:top w:w="0" w:type="dxa"/>
            <w:left w:w="108" w:type="dxa"/>
            <w:bottom w:w="0" w:type="dxa"/>
            <w:right w:w="108" w:type="dxa"/>
          </w:tblCellMar>
        </w:tblPrEx>
        <w:trPr>
          <w:trHeight w:val="668" w:hRule="atLeast"/>
        </w:trPr>
        <w:tc>
          <w:tcPr>
            <w:tcW w:w="472" w:type="dxa"/>
            <w:vMerge w:val="continue"/>
            <w:tcBorders>
              <w:top w:val="single" w:color="auto" w:sz="4" w:space="0"/>
              <w:left w:val="single" w:color="auto" w:sz="4" w:space="0"/>
              <w:bottom w:val="single" w:color="000000" w:sz="4" w:space="0"/>
              <w:right w:val="single" w:color="000000" w:sz="4" w:space="0"/>
            </w:tcBorders>
            <w:vAlign w:val="center"/>
          </w:tcPr>
          <w:p w14:paraId="6DBEF105">
            <w:pPr>
              <w:widowControl/>
              <w:jc w:val="left"/>
              <w:rPr>
                <w:rFonts w:ascii="宋体" w:hAnsi="宋体" w:cs="宋体"/>
                <w:kern w:val="0"/>
                <w:sz w:val="20"/>
                <w:szCs w:val="20"/>
              </w:rPr>
            </w:pPr>
          </w:p>
        </w:tc>
        <w:tc>
          <w:tcPr>
            <w:tcW w:w="3087" w:type="dxa"/>
            <w:vMerge w:val="continue"/>
            <w:tcBorders>
              <w:top w:val="single" w:color="auto" w:sz="4" w:space="0"/>
              <w:left w:val="single" w:color="000000" w:sz="4" w:space="0"/>
              <w:bottom w:val="single" w:color="000000" w:sz="4" w:space="0"/>
              <w:right w:val="single" w:color="000000" w:sz="4" w:space="0"/>
            </w:tcBorders>
            <w:vAlign w:val="center"/>
          </w:tcPr>
          <w:p w14:paraId="284E97F2">
            <w:pPr>
              <w:widowControl/>
              <w:jc w:val="left"/>
              <w:rPr>
                <w:rFonts w:ascii="宋体" w:hAnsi="宋体" w:cs="宋体"/>
                <w:kern w:val="0"/>
                <w:sz w:val="20"/>
                <w:szCs w:val="20"/>
              </w:rPr>
            </w:pPr>
          </w:p>
        </w:tc>
        <w:tc>
          <w:tcPr>
            <w:tcW w:w="992" w:type="dxa"/>
            <w:vMerge w:val="continue"/>
            <w:tcBorders>
              <w:top w:val="single" w:color="auto" w:sz="4" w:space="0"/>
              <w:left w:val="single" w:color="000000" w:sz="4" w:space="0"/>
              <w:bottom w:val="single" w:color="000000" w:sz="4" w:space="0"/>
              <w:right w:val="single" w:color="000000" w:sz="4" w:space="0"/>
            </w:tcBorders>
            <w:vAlign w:val="center"/>
          </w:tcPr>
          <w:p w14:paraId="434F00C3">
            <w:pPr>
              <w:widowControl/>
              <w:jc w:val="left"/>
              <w:rPr>
                <w:rFonts w:ascii="宋体" w:hAnsi="宋体" w:cs="宋体"/>
                <w:kern w:val="0"/>
                <w:sz w:val="20"/>
                <w:szCs w:val="20"/>
              </w:rPr>
            </w:pPr>
          </w:p>
        </w:tc>
        <w:tc>
          <w:tcPr>
            <w:tcW w:w="1134" w:type="dxa"/>
            <w:tcBorders>
              <w:top w:val="nil"/>
              <w:left w:val="nil"/>
              <w:bottom w:val="single" w:color="000000" w:sz="4" w:space="0"/>
              <w:right w:val="single" w:color="000000" w:sz="4" w:space="0"/>
            </w:tcBorders>
            <w:shd w:val="clear" w:color="000000" w:fill="FFFFFF"/>
            <w:vAlign w:val="center"/>
          </w:tcPr>
          <w:p w14:paraId="48BF7C16">
            <w:pPr>
              <w:widowControl/>
              <w:jc w:val="center"/>
              <w:rPr>
                <w:rFonts w:ascii="宋体" w:hAnsi="宋体" w:cs="宋体"/>
                <w:kern w:val="0"/>
                <w:sz w:val="20"/>
                <w:szCs w:val="20"/>
              </w:rPr>
            </w:pPr>
            <w:r>
              <w:rPr>
                <w:rFonts w:hint="eastAsia" w:ascii="宋体" w:hAnsi="宋体" w:cs="宋体"/>
                <w:kern w:val="0"/>
                <w:sz w:val="20"/>
                <w:szCs w:val="20"/>
              </w:rPr>
              <w:t>暂估价</w:t>
            </w:r>
            <w:r>
              <w:br w:type="textWrapping"/>
            </w:r>
            <w:r>
              <w:rPr>
                <w:rFonts w:ascii="宋体" w:hAnsi="宋体" w:cs="宋体"/>
                <w:kern w:val="0"/>
                <w:sz w:val="20"/>
                <w:szCs w:val="20"/>
              </w:rPr>
              <w:t>(元)</w:t>
            </w:r>
          </w:p>
        </w:tc>
        <w:tc>
          <w:tcPr>
            <w:tcW w:w="1418" w:type="dxa"/>
            <w:gridSpan w:val="2"/>
            <w:tcBorders>
              <w:top w:val="nil"/>
              <w:left w:val="nil"/>
              <w:bottom w:val="single" w:color="000000" w:sz="4" w:space="0"/>
              <w:right w:val="single" w:color="000000" w:sz="4" w:space="0"/>
            </w:tcBorders>
            <w:shd w:val="clear" w:color="000000" w:fill="FFFFFF"/>
            <w:vAlign w:val="center"/>
          </w:tcPr>
          <w:p w14:paraId="2970CC72">
            <w:pPr>
              <w:widowControl/>
              <w:jc w:val="center"/>
              <w:rPr>
                <w:rFonts w:ascii="宋体" w:hAnsi="宋体" w:cs="宋体"/>
                <w:kern w:val="0"/>
                <w:sz w:val="20"/>
                <w:szCs w:val="20"/>
              </w:rPr>
            </w:pPr>
            <w:r>
              <w:rPr>
                <w:rFonts w:hint="eastAsia" w:ascii="宋体" w:hAnsi="宋体" w:cs="宋体"/>
                <w:kern w:val="0"/>
                <w:sz w:val="20"/>
                <w:szCs w:val="20"/>
              </w:rPr>
              <w:t>安全文明施工</w:t>
            </w:r>
            <w:r>
              <w:br w:type="textWrapping"/>
            </w:r>
            <w:r>
              <w:rPr>
                <w:rFonts w:hint="eastAsia" w:ascii="宋体" w:hAnsi="宋体" w:cs="宋体"/>
                <w:kern w:val="0"/>
                <w:sz w:val="20"/>
                <w:szCs w:val="20"/>
              </w:rPr>
              <w:t>措施费</w:t>
            </w:r>
            <w:r>
              <w:rPr>
                <w:rFonts w:ascii="宋体" w:hAnsi="宋体" w:cs="宋体"/>
                <w:kern w:val="0"/>
                <w:sz w:val="20"/>
                <w:szCs w:val="20"/>
              </w:rPr>
              <w:t>(元)</w:t>
            </w:r>
          </w:p>
        </w:tc>
        <w:tc>
          <w:tcPr>
            <w:tcW w:w="1276" w:type="dxa"/>
            <w:tcBorders>
              <w:top w:val="nil"/>
              <w:left w:val="nil"/>
              <w:bottom w:val="single" w:color="000000" w:sz="4" w:space="0"/>
              <w:right w:val="single" w:color="auto" w:sz="4" w:space="0"/>
            </w:tcBorders>
            <w:shd w:val="clear" w:color="000000" w:fill="FFFFFF"/>
            <w:vAlign w:val="center"/>
          </w:tcPr>
          <w:p w14:paraId="479266AB">
            <w:pPr>
              <w:widowControl/>
              <w:jc w:val="center"/>
              <w:rPr>
                <w:rFonts w:ascii="宋体" w:hAnsi="宋体" w:cs="宋体"/>
                <w:kern w:val="0"/>
                <w:sz w:val="20"/>
                <w:szCs w:val="20"/>
              </w:rPr>
            </w:pPr>
            <w:r>
              <w:rPr>
                <w:rFonts w:hint="eastAsia" w:ascii="宋体" w:hAnsi="宋体" w:cs="宋体"/>
                <w:kern w:val="0"/>
                <w:sz w:val="20"/>
                <w:szCs w:val="20"/>
              </w:rPr>
              <w:t>规费</w:t>
            </w:r>
            <w:r>
              <w:br w:type="textWrapping"/>
            </w:r>
            <w:r>
              <w:rPr>
                <w:rFonts w:ascii="宋体" w:hAnsi="宋体" w:cs="宋体"/>
                <w:kern w:val="0"/>
                <w:sz w:val="20"/>
                <w:szCs w:val="20"/>
              </w:rPr>
              <w:t>(元)</w:t>
            </w:r>
          </w:p>
        </w:tc>
      </w:tr>
      <w:tr w14:paraId="42765C11">
        <w:tblPrEx>
          <w:tblCellMar>
            <w:top w:w="0" w:type="dxa"/>
            <w:left w:w="108" w:type="dxa"/>
            <w:bottom w:w="0" w:type="dxa"/>
            <w:right w:w="108" w:type="dxa"/>
          </w:tblCellMar>
        </w:tblPrEx>
        <w:trPr>
          <w:trHeight w:val="462" w:hRule="atLeast"/>
        </w:trPr>
        <w:tc>
          <w:tcPr>
            <w:tcW w:w="472" w:type="dxa"/>
            <w:tcBorders>
              <w:top w:val="nil"/>
              <w:left w:val="single" w:color="auto" w:sz="4" w:space="0"/>
              <w:bottom w:val="single" w:color="auto" w:sz="4" w:space="0"/>
              <w:right w:val="single" w:color="auto" w:sz="4" w:space="0"/>
            </w:tcBorders>
            <w:shd w:val="clear" w:color="000000" w:fill="FFFFFF"/>
            <w:noWrap/>
            <w:vAlign w:val="center"/>
          </w:tcPr>
          <w:p w14:paraId="27842BC9">
            <w:pPr>
              <w:widowControl/>
              <w:jc w:val="center"/>
              <w:rPr>
                <w:rFonts w:ascii="宋体" w:hAnsi="宋体" w:cs="宋体"/>
                <w:kern w:val="0"/>
                <w:sz w:val="20"/>
                <w:szCs w:val="20"/>
              </w:rPr>
            </w:pPr>
            <w:r>
              <w:rPr>
                <w:rFonts w:ascii="宋体" w:hAnsi="宋体" w:cs="宋体"/>
                <w:kern w:val="0"/>
                <w:sz w:val="20"/>
                <w:szCs w:val="20"/>
              </w:rPr>
              <w:t>1</w:t>
            </w:r>
          </w:p>
        </w:tc>
        <w:tc>
          <w:tcPr>
            <w:tcW w:w="3087" w:type="dxa"/>
            <w:tcBorders>
              <w:top w:val="nil"/>
              <w:left w:val="nil"/>
              <w:bottom w:val="single" w:color="auto" w:sz="4" w:space="0"/>
              <w:right w:val="single" w:color="auto" w:sz="4" w:space="0"/>
            </w:tcBorders>
            <w:shd w:val="clear" w:color="000000" w:fill="FFFFFF"/>
            <w:vAlign w:val="center"/>
          </w:tcPr>
          <w:p w14:paraId="44AC07FE">
            <w:pPr>
              <w:widowControl/>
              <w:jc w:val="center"/>
              <w:rPr>
                <w:rFonts w:ascii="宋体" w:hAnsi="宋体" w:cs="宋体"/>
                <w:kern w:val="0"/>
                <w:sz w:val="20"/>
                <w:szCs w:val="20"/>
              </w:rPr>
            </w:pPr>
          </w:p>
        </w:tc>
        <w:tc>
          <w:tcPr>
            <w:tcW w:w="992" w:type="dxa"/>
            <w:tcBorders>
              <w:top w:val="nil"/>
              <w:left w:val="nil"/>
              <w:bottom w:val="single" w:color="auto" w:sz="4" w:space="0"/>
              <w:right w:val="single" w:color="auto" w:sz="4" w:space="0"/>
            </w:tcBorders>
            <w:shd w:val="clear" w:color="000000" w:fill="FFFFFF"/>
            <w:noWrap/>
            <w:vAlign w:val="center"/>
          </w:tcPr>
          <w:p w14:paraId="5BC8862B">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000000" w:fill="FFFFFF"/>
            <w:noWrap/>
            <w:vAlign w:val="center"/>
          </w:tcPr>
          <w:p w14:paraId="3CC2EF2F">
            <w:pPr>
              <w:widowControl/>
              <w:jc w:val="center"/>
              <w:rPr>
                <w:rFonts w:ascii="宋体" w:hAnsi="宋体" w:cs="宋体"/>
                <w:kern w:val="0"/>
                <w:sz w:val="20"/>
                <w:szCs w:val="20"/>
              </w:rPr>
            </w:pPr>
          </w:p>
        </w:tc>
        <w:tc>
          <w:tcPr>
            <w:tcW w:w="1418" w:type="dxa"/>
            <w:gridSpan w:val="2"/>
            <w:tcBorders>
              <w:top w:val="nil"/>
              <w:left w:val="nil"/>
              <w:bottom w:val="single" w:color="auto" w:sz="4" w:space="0"/>
              <w:right w:val="single" w:color="auto" w:sz="4" w:space="0"/>
            </w:tcBorders>
            <w:shd w:val="clear" w:color="000000" w:fill="FFFFFF"/>
            <w:noWrap/>
            <w:vAlign w:val="center"/>
          </w:tcPr>
          <w:p w14:paraId="68B245C4">
            <w:pPr>
              <w:widowControl/>
              <w:jc w:val="center"/>
              <w:rPr>
                <w:rFonts w:ascii="宋体" w:hAnsi="宋体" w:cs="宋体"/>
                <w:kern w:val="0"/>
                <w:sz w:val="20"/>
                <w:szCs w:val="20"/>
              </w:rPr>
            </w:pPr>
          </w:p>
        </w:tc>
        <w:tc>
          <w:tcPr>
            <w:tcW w:w="1276" w:type="dxa"/>
            <w:tcBorders>
              <w:top w:val="nil"/>
              <w:left w:val="nil"/>
              <w:bottom w:val="single" w:color="auto" w:sz="4" w:space="0"/>
              <w:right w:val="single" w:color="auto" w:sz="4" w:space="0"/>
            </w:tcBorders>
            <w:shd w:val="clear" w:color="000000" w:fill="FFFFFF"/>
            <w:noWrap/>
            <w:vAlign w:val="center"/>
          </w:tcPr>
          <w:p w14:paraId="1FC4CA09">
            <w:pPr>
              <w:widowControl/>
              <w:jc w:val="center"/>
              <w:rPr>
                <w:rFonts w:ascii="宋体" w:hAnsi="宋体" w:cs="宋体"/>
                <w:kern w:val="0"/>
                <w:sz w:val="20"/>
                <w:szCs w:val="20"/>
              </w:rPr>
            </w:pPr>
          </w:p>
        </w:tc>
      </w:tr>
      <w:tr w14:paraId="4C1045EB">
        <w:tblPrEx>
          <w:tblCellMar>
            <w:top w:w="0" w:type="dxa"/>
            <w:left w:w="108" w:type="dxa"/>
            <w:bottom w:w="0" w:type="dxa"/>
            <w:right w:w="108" w:type="dxa"/>
          </w:tblCellMar>
        </w:tblPrEx>
        <w:trPr>
          <w:trHeight w:val="462" w:hRule="atLeast"/>
        </w:trPr>
        <w:tc>
          <w:tcPr>
            <w:tcW w:w="472" w:type="dxa"/>
            <w:tcBorders>
              <w:top w:val="nil"/>
              <w:left w:val="single" w:color="auto" w:sz="4" w:space="0"/>
              <w:bottom w:val="single" w:color="auto" w:sz="4" w:space="0"/>
              <w:right w:val="single" w:color="auto" w:sz="4" w:space="0"/>
            </w:tcBorders>
            <w:shd w:val="clear" w:color="auto" w:fill="auto"/>
            <w:noWrap/>
            <w:vAlign w:val="center"/>
          </w:tcPr>
          <w:p w14:paraId="72C5F9F5">
            <w:pPr>
              <w:widowControl/>
              <w:jc w:val="center"/>
              <w:rPr>
                <w:rFonts w:ascii="宋体" w:hAnsi="宋体" w:cs="宋体"/>
                <w:kern w:val="0"/>
                <w:sz w:val="20"/>
                <w:szCs w:val="20"/>
              </w:rPr>
            </w:pPr>
          </w:p>
        </w:tc>
        <w:tc>
          <w:tcPr>
            <w:tcW w:w="3087" w:type="dxa"/>
            <w:tcBorders>
              <w:top w:val="nil"/>
              <w:left w:val="nil"/>
              <w:bottom w:val="single" w:color="auto" w:sz="4" w:space="0"/>
              <w:right w:val="single" w:color="auto" w:sz="4" w:space="0"/>
            </w:tcBorders>
            <w:shd w:val="clear" w:color="auto" w:fill="auto"/>
            <w:noWrap/>
            <w:vAlign w:val="center"/>
          </w:tcPr>
          <w:p w14:paraId="2CE3C461">
            <w:pPr>
              <w:widowControl/>
              <w:jc w:val="center"/>
              <w:rPr>
                <w:rFonts w:ascii="宋体" w:hAnsi="宋体" w:cs="宋体"/>
                <w:kern w:val="0"/>
                <w:sz w:val="20"/>
                <w:szCs w:val="20"/>
              </w:rPr>
            </w:pPr>
          </w:p>
        </w:tc>
        <w:tc>
          <w:tcPr>
            <w:tcW w:w="992" w:type="dxa"/>
            <w:tcBorders>
              <w:top w:val="nil"/>
              <w:left w:val="nil"/>
              <w:bottom w:val="single" w:color="auto" w:sz="4" w:space="0"/>
              <w:right w:val="single" w:color="auto" w:sz="4" w:space="0"/>
            </w:tcBorders>
            <w:shd w:val="clear" w:color="auto" w:fill="auto"/>
            <w:noWrap/>
            <w:vAlign w:val="center"/>
          </w:tcPr>
          <w:p w14:paraId="7AAA1367">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11EDE80A">
            <w:pPr>
              <w:widowControl/>
              <w:jc w:val="center"/>
              <w:rPr>
                <w:rFonts w:ascii="宋体" w:hAnsi="宋体" w:cs="宋体"/>
                <w:kern w:val="0"/>
                <w:sz w:val="20"/>
                <w:szCs w:val="20"/>
              </w:rPr>
            </w:pPr>
          </w:p>
        </w:tc>
        <w:tc>
          <w:tcPr>
            <w:tcW w:w="1418" w:type="dxa"/>
            <w:gridSpan w:val="2"/>
            <w:tcBorders>
              <w:top w:val="nil"/>
              <w:left w:val="nil"/>
              <w:bottom w:val="single" w:color="auto" w:sz="4" w:space="0"/>
              <w:right w:val="single" w:color="auto" w:sz="4" w:space="0"/>
            </w:tcBorders>
            <w:shd w:val="clear" w:color="auto" w:fill="auto"/>
            <w:noWrap/>
            <w:vAlign w:val="center"/>
          </w:tcPr>
          <w:p w14:paraId="055B2AC1">
            <w:pPr>
              <w:widowControl/>
              <w:jc w:val="center"/>
              <w:rPr>
                <w:rFonts w:ascii="宋体" w:hAnsi="宋体" w:cs="宋体"/>
                <w:kern w:val="0"/>
                <w:sz w:val="20"/>
                <w:szCs w:val="20"/>
              </w:rPr>
            </w:pPr>
          </w:p>
        </w:tc>
        <w:tc>
          <w:tcPr>
            <w:tcW w:w="1276" w:type="dxa"/>
            <w:tcBorders>
              <w:top w:val="nil"/>
              <w:left w:val="nil"/>
              <w:bottom w:val="single" w:color="auto" w:sz="4" w:space="0"/>
              <w:right w:val="single" w:color="auto" w:sz="4" w:space="0"/>
            </w:tcBorders>
            <w:shd w:val="clear" w:color="auto" w:fill="auto"/>
            <w:noWrap/>
            <w:vAlign w:val="center"/>
          </w:tcPr>
          <w:p w14:paraId="1CC95601">
            <w:pPr>
              <w:widowControl/>
              <w:jc w:val="center"/>
              <w:rPr>
                <w:rFonts w:ascii="宋体" w:hAnsi="宋体" w:cs="宋体"/>
                <w:kern w:val="0"/>
                <w:sz w:val="20"/>
                <w:szCs w:val="20"/>
              </w:rPr>
            </w:pPr>
          </w:p>
        </w:tc>
      </w:tr>
      <w:tr w14:paraId="25080683">
        <w:tblPrEx>
          <w:tblCellMar>
            <w:top w:w="0" w:type="dxa"/>
            <w:left w:w="108" w:type="dxa"/>
            <w:bottom w:w="0" w:type="dxa"/>
            <w:right w:w="108" w:type="dxa"/>
          </w:tblCellMar>
        </w:tblPrEx>
        <w:trPr>
          <w:trHeight w:val="462" w:hRule="atLeast"/>
        </w:trPr>
        <w:tc>
          <w:tcPr>
            <w:tcW w:w="472" w:type="dxa"/>
            <w:tcBorders>
              <w:top w:val="nil"/>
              <w:left w:val="single" w:color="auto" w:sz="4" w:space="0"/>
              <w:bottom w:val="single" w:color="auto" w:sz="4" w:space="0"/>
              <w:right w:val="single" w:color="auto" w:sz="4" w:space="0"/>
            </w:tcBorders>
            <w:shd w:val="clear" w:color="auto" w:fill="auto"/>
            <w:noWrap/>
            <w:vAlign w:val="center"/>
          </w:tcPr>
          <w:p w14:paraId="630BD10C">
            <w:pPr>
              <w:widowControl/>
              <w:jc w:val="center"/>
              <w:rPr>
                <w:rFonts w:ascii="宋体" w:hAnsi="宋体" w:cs="宋体"/>
                <w:kern w:val="0"/>
                <w:sz w:val="20"/>
                <w:szCs w:val="20"/>
              </w:rPr>
            </w:pPr>
          </w:p>
        </w:tc>
        <w:tc>
          <w:tcPr>
            <w:tcW w:w="3087" w:type="dxa"/>
            <w:tcBorders>
              <w:top w:val="nil"/>
              <w:left w:val="nil"/>
              <w:bottom w:val="single" w:color="auto" w:sz="4" w:space="0"/>
              <w:right w:val="single" w:color="auto" w:sz="4" w:space="0"/>
            </w:tcBorders>
            <w:shd w:val="clear" w:color="auto" w:fill="auto"/>
            <w:noWrap/>
            <w:vAlign w:val="center"/>
          </w:tcPr>
          <w:p w14:paraId="341CB531">
            <w:pPr>
              <w:widowControl/>
              <w:jc w:val="center"/>
              <w:rPr>
                <w:rFonts w:ascii="宋体" w:hAnsi="宋体" w:cs="宋体"/>
                <w:kern w:val="0"/>
                <w:sz w:val="20"/>
                <w:szCs w:val="20"/>
              </w:rPr>
            </w:pPr>
          </w:p>
        </w:tc>
        <w:tc>
          <w:tcPr>
            <w:tcW w:w="992" w:type="dxa"/>
            <w:tcBorders>
              <w:top w:val="nil"/>
              <w:left w:val="nil"/>
              <w:bottom w:val="single" w:color="auto" w:sz="4" w:space="0"/>
              <w:right w:val="single" w:color="auto" w:sz="4" w:space="0"/>
            </w:tcBorders>
            <w:shd w:val="clear" w:color="auto" w:fill="auto"/>
            <w:noWrap/>
            <w:vAlign w:val="center"/>
          </w:tcPr>
          <w:p w14:paraId="2DEFB3A8">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528BC708">
            <w:pPr>
              <w:widowControl/>
              <w:jc w:val="center"/>
              <w:rPr>
                <w:rFonts w:ascii="宋体" w:hAnsi="宋体" w:cs="宋体"/>
                <w:kern w:val="0"/>
                <w:sz w:val="20"/>
                <w:szCs w:val="20"/>
              </w:rPr>
            </w:pPr>
          </w:p>
        </w:tc>
        <w:tc>
          <w:tcPr>
            <w:tcW w:w="1418" w:type="dxa"/>
            <w:gridSpan w:val="2"/>
            <w:tcBorders>
              <w:top w:val="nil"/>
              <w:left w:val="nil"/>
              <w:bottom w:val="single" w:color="auto" w:sz="4" w:space="0"/>
              <w:right w:val="single" w:color="auto" w:sz="4" w:space="0"/>
            </w:tcBorders>
            <w:shd w:val="clear" w:color="auto" w:fill="auto"/>
            <w:noWrap/>
            <w:vAlign w:val="center"/>
          </w:tcPr>
          <w:p w14:paraId="2B52C53C">
            <w:pPr>
              <w:widowControl/>
              <w:jc w:val="center"/>
              <w:rPr>
                <w:rFonts w:ascii="宋体" w:hAnsi="宋体" w:cs="宋体"/>
                <w:kern w:val="0"/>
                <w:sz w:val="20"/>
                <w:szCs w:val="20"/>
              </w:rPr>
            </w:pPr>
          </w:p>
        </w:tc>
        <w:tc>
          <w:tcPr>
            <w:tcW w:w="1276" w:type="dxa"/>
            <w:tcBorders>
              <w:top w:val="nil"/>
              <w:left w:val="nil"/>
              <w:bottom w:val="single" w:color="auto" w:sz="4" w:space="0"/>
              <w:right w:val="single" w:color="auto" w:sz="4" w:space="0"/>
            </w:tcBorders>
            <w:shd w:val="clear" w:color="auto" w:fill="auto"/>
            <w:noWrap/>
            <w:vAlign w:val="center"/>
          </w:tcPr>
          <w:p w14:paraId="77029EA2">
            <w:pPr>
              <w:widowControl/>
              <w:jc w:val="center"/>
              <w:rPr>
                <w:rFonts w:ascii="宋体" w:hAnsi="宋体" w:cs="宋体"/>
                <w:kern w:val="0"/>
                <w:sz w:val="20"/>
                <w:szCs w:val="20"/>
              </w:rPr>
            </w:pPr>
          </w:p>
        </w:tc>
      </w:tr>
      <w:tr w14:paraId="4CD31D4A">
        <w:tblPrEx>
          <w:tblCellMar>
            <w:top w:w="0" w:type="dxa"/>
            <w:left w:w="108" w:type="dxa"/>
            <w:bottom w:w="0" w:type="dxa"/>
            <w:right w:w="108" w:type="dxa"/>
          </w:tblCellMar>
        </w:tblPrEx>
        <w:trPr>
          <w:trHeight w:val="462" w:hRule="atLeast"/>
        </w:trPr>
        <w:tc>
          <w:tcPr>
            <w:tcW w:w="472" w:type="dxa"/>
            <w:tcBorders>
              <w:top w:val="nil"/>
              <w:left w:val="single" w:color="auto" w:sz="4" w:space="0"/>
              <w:bottom w:val="single" w:color="auto" w:sz="4" w:space="0"/>
              <w:right w:val="single" w:color="auto" w:sz="4" w:space="0"/>
            </w:tcBorders>
            <w:shd w:val="clear" w:color="auto" w:fill="auto"/>
            <w:noWrap/>
            <w:vAlign w:val="center"/>
          </w:tcPr>
          <w:p w14:paraId="2BF534BB">
            <w:pPr>
              <w:widowControl/>
              <w:jc w:val="center"/>
              <w:rPr>
                <w:rFonts w:ascii="宋体" w:hAnsi="宋体" w:cs="宋体"/>
                <w:kern w:val="0"/>
                <w:sz w:val="20"/>
                <w:szCs w:val="20"/>
              </w:rPr>
            </w:pPr>
          </w:p>
        </w:tc>
        <w:tc>
          <w:tcPr>
            <w:tcW w:w="3087" w:type="dxa"/>
            <w:tcBorders>
              <w:top w:val="nil"/>
              <w:left w:val="nil"/>
              <w:bottom w:val="single" w:color="auto" w:sz="4" w:space="0"/>
              <w:right w:val="single" w:color="auto" w:sz="4" w:space="0"/>
            </w:tcBorders>
            <w:shd w:val="clear" w:color="auto" w:fill="auto"/>
            <w:noWrap/>
            <w:vAlign w:val="center"/>
          </w:tcPr>
          <w:p w14:paraId="10FB6690">
            <w:pPr>
              <w:widowControl/>
              <w:jc w:val="center"/>
              <w:rPr>
                <w:rFonts w:ascii="宋体" w:hAnsi="宋体" w:cs="宋体"/>
                <w:kern w:val="0"/>
                <w:sz w:val="20"/>
                <w:szCs w:val="20"/>
              </w:rPr>
            </w:pPr>
          </w:p>
        </w:tc>
        <w:tc>
          <w:tcPr>
            <w:tcW w:w="992" w:type="dxa"/>
            <w:tcBorders>
              <w:top w:val="nil"/>
              <w:left w:val="nil"/>
              <w:bottom w:val="single" w:color="auto" w:sz="4" w:space="0"/>
              <w:right w:val="single" w:color="auto" w:sz="4" w:space="0"/>
            </w:tcBorders>
            <w:shd w:val="clear" w:color="auto" w:fill="auto"/>
            <w:noWrap/>
            <w:vAlign w:val="center"/>
          </w:tcPr>
          <w:p w14:paraId="37927CDA">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64280A53">
            <w:pPr>
              <w:widowControl/>
              <w:jc w:val="center"/>
              <w:rPr>
                <w:rFonts w:ascii="宋体" w:hAnsi="宋体" w:cs="宋体"/>
                <w:kern w:val="0"/>
                <w:sz w:val="20"/>
                <w:szCs w:val="20"/>
              </w:rPr>
            </w:pPr>
          </w:p>
        </w:tc>
        <w:tc>
          <w:tcPr>
            <w:tcW w:w="1418" w:type="dxa"/>
            <w:gridSpan w:val="2"/>
            <w:tcBorders>
              <w:top w:val="nil"/>
              <w:left w:val="nil"/>
              <w:bottom w:val="single" w:color="auto" w:sz="4" w:space="0"/>
              <w:right w:val="single" w:color="auto" w:sz="4" w:space="0"/>
            </w:tcBorders>
            <w:shd w:val="clear" w:color="auto" w:fill="auto"/>
            <w:noWrap/>
            <w:vAlign w:val="center"/>
          </w:tcPr>
          <w:p w14:paraId="34DB01E9">
            <w:pPr>
              <w:widowControl/>
              <w:jc w:val="center"/>
              <w:rPr>
                <w:rFonts w:ascii="宋体" w:hAnsi="宋体" w:cs="宋体"/>
                <w:kern w:val="0"/>
                <w:sz w:val="20"/>
                <w:szCs w:val="20"/>
              </w:rPr>
            </w:pPr>
          </w:p>
        </w:tc>
        <w:tc>
          <w:tcPr>
            <w:tcW w:w="1276" w:type="dxa"/>
            <w:tcBorders>
              <w:top w:val="nil"/>
              <w:left w:val="nil"/>
              <w:bottom w:val="single" w:color="auto" w:sz="4" w:space="0"/>
              <w:right w:val="single" w:color="auto" w:sz="4" w:space="0"/>
            </w:tcBorders>
            <w:shd w:val="clear" w:color="auto" w:fill="auto"/>
            <w:noWrap/>
            <w:vAlign w:val="center"/>
          </w:tcPr>
          <w:p w14:paraId="02A603C5">
            <w:pPr>
              <w:widowControl/>
              <w:jc w:val="center"/>
              <w:rPr>
                <w:rFonts w:ascii="宋体" w:hAnsi="宋体" w:cs="宋体"/>
                <w:kern w:val="0"/>
                <w:sz w:val="20"/>
                <w:szCs w:val="20"/>
              </w:rPr>
            </w:pPr>
          </w:p>
        </w:tc>
      </w:tr>
      <w:tr w14:paraId="62464244">
        <w:tblPrEx>
          <w:tblCellMar>
            <w:top w:w="0" w:type="dxa"/>
            <w:left w:w="108" w:type="dxa"/>
            <w:bottom w:w="0" w:type="dxa"/>
            <w:right w:w="108" w:type="dxa"/>
          </w:tblCellMar>
        </w:tblPrEx>
        <w:trPr>
          <w:trHeight w:val="462" w:hRule="atLeast"/>
        </w:trPr>
        <w:tc>
          <w:tcPr>
            <w:tcW w:w="472" w:type="dxa"/>
            <w:tcBorders>
              <w:top w:val="nil"/>
              <w:left w:val="single" w:color="auto" w:sz="4" w:space="0"/>
              <w:bottom w:val="single" w:color="auto" w:sz="4" w:space="0"/>
              <w:right w:val="single" w:color="auto" w:sz="4" w:space="0"/>
            </w:tcBorders>
            <w:shd w:val="clear" w:color="auto" w:fill="auto"/>
            <w:noWrap/>
            <w:vAlign w:val="center"/>
          </w:tcPr>
          <w:p w14:paraId="0852C1E6">
            <w:pPr>
              <w:widowControl/>
              <w:jc w:val="center"/>
              <w:rPr>
                <w:rFonts w:ascii="宋体" w:hAnsi="宋体" w:cs="宋体"/>
                <w:kern w:val="0"/>
                <w:sz w:val="20"/>
                <w:szCs w:val="20"/>
              </w:rPr>
            </w:pPr>
          </w:p>
        </w:tc>
        <w:tc>
          <w:tcPr>
            <w:tcW w:w="3087" w:type="dxa"/>
            <w:tcBorders>
              <w:top w:val="nil"/>
              <w:left w:val="nil"/>
              <w:bottom w:val="single" w:color="auto" w:sz="4" w:space="0"/>
              <w:right w:val="single" w:color="auto" w:sz="4" w:space="0"/>
            </w:tcBorders>
            <w:shd w:val="clear" w:color="auto" w:fill="auto"/>
            <w:noWrap/>
            <w:vAlign w:val="center"/>
          </w:tcPr>
          <w:p w14:paraId="1787E2CE">
            <w:pPr>
              <w:widowControl/>
              <w:jc w:val="center"/>
              <w:rPr>
                <w:rFonts w:ascii="宋体" w:hAnsi="宋体" w:cs="宋体"/>
                <w:kern w:val="0"/>
                <w:sz w:val="20"/>
                <w:szCs w:val="20"/>
              </w:rPr>
            </w:pPr>
          </w:p>
        </w:tc>
        <w:tc>
          <w:tcPr>
            <w:tcW w:w="992" w:type="dxa"/>
            <w:tcBorders>
              <w:top w:val="nil"/>
              <w:left w:val="nil"/>
              <w:bottom w:val="single" w:color="auto" w:sz="4" w:space="0"/>
              <w:right w:val="single" w:color="auto" w:sz="4" w:space="0"/>
            </w:tcBorders>
            <w:shd w:val="clear" w:color="auto" w:fill="auto"/>
            <w:noWrap/>
            <w:vAlign w:val="center"/>
          </w:tcPr>
          <w:p w14:paraId="3DB0EEBF">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2E4D1D1D">
            <w:pPr>
              <w:widowControl/>
              <w:jc w:val="center"/>
              <w:rPr>
                <w:rFonts w:ascii="宋体" w:hAnsi="宋体" w:cs="宋体"/>
                <w:kern w:val="0"/>
                <w:sz w:val="20"/>
                <w:szCs w:val="20"/>
              </w:rPr>
            </w:pPr>
          </w:p>
        </w:tc>
        <w:tc>
          <w:tcPr>
            <w:tcW w:w="1418" w:type="dxa"/>
            <w:gridSpan w:val="2"/>
            <w:tcBorders>
              <w:top w:val="nil"/>
              <w:left w:val="nil"/>
              <w:bottom w:val="single" w:color="auto" w:sz="4" w:space="0"/>
              <w:right w:val="single" w:color="auto" w:sz="4" w:space="0"/>
            </w:tcBorders>
            <w:shd w:val="clear" w:color="auto" w:fill="auto"/>
            <w:noWrap/>
            <w:vAlign w:val="center"/>
          </w:tcPr>
          <w:p w14:paraId="2959D252">
            <w:pPr>
              <w:widowControl/>
              <w:jc w:val="center"/>
              <w:rPr>
                <w:rFonts w:ascii="宋体" w:hAnsi="宋体" w:cs="宋体"/>
                <w:kern w:val="0"/>
                <w:sz w:val="20"/>
                <w:szCs w:val="20"/>
              </w:rPr>
            </w:pPr>
          </w:p>
        </w:tc>
        <w:tc>
          <w:tcPr>
            <w:tcW w:w="1276" w:type="dxa"/>
            <w:tcBorders>
              <w:top w:val="nil"/>
              <w:left w:val="nil"/>
              <w:bottom w:val="single" w:color="auto" w:sz="4" w:space="0"/>
              <w:right w:val="single" w:color="auto" w:sz="4" w:space="0"/>
            </w:tcBorders>
            <w:shd w:val="clear" w:color="auto" w:fill="auto"/>
            <w:noWrap/>
            <w:vAlign w:val="center"/>
          </w:tcPr>
          <w:p w14:paraId="22AF0A6C">
            <w:pPr>
              <w:widowControl/>
              <w:jc w:val="center"/>
              <w:rPr>
                <w:rFonts w:ascii="宋体" w:hAnsi="宋体" w:cs="宋体"/>
                <w:kern w:val="0"/>
                <w:sz w:val="20"/>
                <w:szCs w:val="20"/>
              </w:rPr>
            </w:pPr>
          </w:p>
        </w:tc>
      </w:tr>
      <w:tr w14:paraId="0D12D468">
        <w:tblPrEx>
          <w:tblCellMar>
            <w:top w:w="0" w:type="dxa"/>
            <w:left w:w="108" w:type="dxa"/>
            <w:bottom w:w="0" w:type="dxa"/>
            <w:right w:w="108" w:type="dxa"/>
          </w:tblCellMar>
        </w:tblPrEx>
        <w:trPr>
          <w:trHeight w:val="462" w:hRule="atLeast"/>
        </w:trPr>
        <w:tc>
          <w:tcPr>
            <w:tcW w:w="3559"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14:paraId="0035042C">
            <w:pPr>
              <w:widowControl/>
              <w:jc w:val="center"/>
              <w:rPr>
                <w:rFonts w:ascii="宋体" w:hAnsi="宋体" w:cs="宋体"/>
                <w:kern w:val="0"/>
                <w:sz w:val="20"/>
                <w:szCs w:val="20"/>
              </w:rPr>
            </w:pPr>
            <w:r>
              <w:rPr>
                <w:rFonts w:hint="eastAsia" w:ascii="宋体" w:hAnsi="宋体" w:cs="宋体"/>
                <w:kern w:val="0"/>
                <w:sz w:val="20"/>
                <w:szCs w:val="20"/>
              </w:rPr>
              <w:t>合</w:t>
            </w:r>
            <w:r>
              <w:rPr>
                <w:rFonts w:ascii="宋体" w:hAnsi="宋体" w:cs="宋体"/>
                <w:kern w:val="0"/>
                <w:sz w:val="20"/>
                <w:szCs w:val="20"/>
              </w:rPr>
              <w:t xml:space="preserve">    </w:t>
            </w:r>
            <w:r>
              <w:rPr>
                <w:rFonts w:hint="eastAsia" w:ascii="宋体" w:hAnsi="宋体" w:cs="宋体"/>
                <w:kern w:val="0"/>
                <w:sz w:val="20"/>
                <w:szCs w:val="20"/>
              </w:rPr>
              <w:t>计</w:t>
            </w:r>
          </w:p>
        </w:tc>
        <w:tc>
          <w:tcPr>
            <w:tcW w:w="992" w:type="dxa"/>
            <w:tcBorders>
              <w:top w:val="nil"/>
              <w:left w:val="nil"/>
              <w:bottom w:val="single" w:color="auto" w:sz="4" w:space="0"/>
              <w:right w:val="single" w:color="auto" w:sz="4" w:space="0"/>
            </w:tcBorders>
            <w:shd w:val="clear" w:color="auto" w:fill="auto"/>
            <w:noWrap/>
            <w:vAlign w:val="center"/>
          </w:tcPr>
          <w:p w14:paraId="6F5B0B62">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4C7BF783">
            <w:pPr>
              <w:widowControl/>
              <w:jc w:val="center"/>
              <w:rPr>
                <w:rFonts w:ascii="宋体" w:hAnsi="宋体" w:cs="宋体"/>
                <w:kern w:val="0"/>
                <w:sz w:val="20"/>
                <w:szCs w:val="20"/>
              </w:rPr>
            </w:pPr>
          </w:p>
        </w:tc>
        <w:tc>
          <w:tcPr>
            <w:tcW w:w="1418" w:type="dxa"/>
            <w:gridSpan w:val="2"/>
            <w:tcBorders>
              <w:top w:val="nil"/>
              <w:left w:val="nil"/>
              <w:bottom w:val="single" w:color="auto" w:sz="4" w:space="0"/>
              <w:right w:val="single" w:color="auto" w:sz="4" w:space="0"/>
            </w:tcBorders>
            <w:shd w:val="clear" w:color="auto" w:fill="auto"/>
            <w:noWrap/>
            <w:vAlign w:val="center"/>
          </w:tcPr>
          <w:p w14:paraId="41F816C8">
            <w:pPr>
              <w:widowControl/>
              <w:jc w:val="center"/>
              <w:rPr>
                <w:rFonts w:ascii="宋体" w:hAnsi="宋体" w:cs="宋体"/>
                <w:kern w:val="0"/>
                <w:sz w:val="20"/>
                <w:szCs w:val="20"/>
              </w:rPr>
            </w:pPr>
          </w:p>
        </w:tc>
        <w:tc>
          <w:tcPr>
            <w:tcW w:w="1276" w:type="dxa"/>
            <w:tcBorders>
              <w:top w:val="nil"/>
              <w:left w:val="nil"/>
              <w:bottom w:val="single" w:color="auto" w:sz="4" w:space="0"/>
              <w:right w:val="single" w:color="auto" w:sz="4" w:space="0"/>
            </w:tcBorders>
            <w:shd w:val="clear" w:color="auto" w:fill="auto"/>
            <w:noWrap/>
            <w:vAlign w:val="center"/>
          </w:tcPr>
          <w:p w14:paraId="59F0B677">
            <w:pPr>
              <w:widowControl/>
              <w:jc w:val="center"/>
              <w:rPr>
                <w:rFonts w:ascii="宋体" w:hAnsi="宋体" w:cs="宋体"/>
                <w:kern w:val="0"/>
                <w:sz w:val="20"/>
                <w:szCs w:val="20"/>
              </w:rPr>
            </w:pPr>
          </w:p>
        </w:tc>
      </w:tr>
    </w:tbl>
    <w:p w14:paraId="27084E37">
      <w:pPr>
        <w:rPr>
          <w:rFonts w:ascii="Times New Roman" w:hAnsi="Times New Roman"/>
        </w:rPr>
      </w:pPr>
    </w:p>
    <w:p w14:paraId="32588D38">
      <w:pPr>
        <w:keepNext/>
        <w:keepLines/>
        <w:spacing w:before="280" w:after="290" w:line="376" w:lineRule="auto"/>
        <w:outlineLvl w:val="3"/>
        <w:rPr>
          <w:rFonts w:ascii="Arial" w:hAnsi="Arial" w:eastAsia="黑体"/>
          <w:b/>
          <w:bCs/>
          <w:sz w:val="28"/>
          <w:szCs w:val="28"/>
        </w:rPr>
      </w:pPr>
      <w:r>
        <w:rPr>
          <w:rFonts w:hint="eastAsia" w:ascii="Arial" w:hAnsi="Arial" w:eastAsia="黑体"/>
          <w:b/>
          <w:bCs/>
          <w:sz w:val="28"/>
          <w:szCs w:val="28"/>
        </w:rPr>
        <w:t>（2）</w:t>
      </w:r>
      <w:r>
        <w:rPr>
          <w:rFonts w:hint="eastAsia" w:ascii="Arial" w:hAnsi="Arial" w:eastAsia="黑体"/>
          <w:b/>
          <w:bCs/>
          <w:kern w:val="0"/>
          <w:sz w:val="28"/>
          <w:szCs w:val="28"/>
        </w:rPr>
        <w:t>单项工程报价汇总表</w:t>
      </w:r>
    </w:p>
    <w:tbl>
      <w:tblPr>
        <w:tblStyle w:val="50"/>
        <w:tblW w:w="8379" w:type="dxa"/>
        <w:tblInd w:w="93" w:type="dxa"/>
        <w:tblLayout w:type="fixed"/>
        <w:tblCellMar>
          <w:top w:w="0" w:type="dxa"/>
          <w:left w:w="108" w:type="dxa"/>
          <w:bottom w:w="0" w:type="dxa"/>
          <w:right w:w="108" w:type="dxa"/>
        </w:tblCellMar>
      </w:tblPr>
      <w:tblGrid>
        <w:gridCol w:w="472"/>
        <w:gridCol w:w="3087"/>
        <w:gridCol w:w="992"/>
        <w:gridCol w:w="1276"/>
        <w:gridCol w:w="952"/>
        <w:gridCol w:w="466"/>
        <w:gridCol w:w="1134"/>
      </w:tblGrid>
      <w:tr w14:paraId="5997761C">
        <w:tblPrEx>
          <w:tblCellMar>
            <w:top w:w="0" w:type="dxa"/>
            <w:left w:w="108" w:type="dxa"/>
            <w:bottom w:w="0" w:type="dxa"/>
            <w:right w:w="108" w:type="dxa"/>
          </w:tblCellMar>
        </w:tblPrEx>
        <w:trPr>
          <w:trHeight w:val="372" w:hRule="atLeast"/>
        </w:trPr>
        <w:tc>
          <w:tcPr>
            <w:tcW w:w="6779" w:type="dxa"/>
            <w:gridSpan w:val="5"/>
            <w:tcBorders>
              <w:top w:val="nil"/>
              <w:left w:val="nil"/>
              <w:bottom w:val="nil"/>
              <w:right w:val="nil"/>
            </w:tcBorders>
            <w:shd w:val="clear" w:color="auto" w:fill="auto"/>
            <w:vAlign w:val="bottom"/>
          </w:tcPr>
          <w:p w14:paraId="0C5FE52A">
            <w:pPr>
              <w:widowControl/>
              <w:jc w:val="left"/>
              <w:rPr>
                <w:rFonts w:ascii="宋体" w:hAnsi="宋体" w:cs="宋体"/>
                <w:kern w:val="0"/>
                <w:sz w:val="20"/>
                <w:szCs w:val="20"/>
              </w:rPr>
            </w:pPr>
            <w:r>
              <w:rPr>
                <w:rFonts w:hint="eastAsia" w:ascii="宋体" w:hAnsi="宋体" w:cs="宋体"/>
                <w:kern w:val="0"/>
                <w:sz w:val="20"/>
                <w:szCs w:val="20"/>
              </w:rPr>
              <w:t>工程名称</w:t>
            </w:r>
            <w:r>
              <w:rPr>
                <w:rFonts w:ascii="宋体" w:hAnsi="宋体" w:cs="宋体"/>
                <w:kern w:val="0"/>
                <w:sz w:val="20"/>
                <w:szCs w:val="20"/>
              </w:rPr>
              <w:t xml:space="preserve">: </w:t>
            </w:r>
          </w:p>
        </w:tc>
        <w:tc>
          <w:tcPr>
            <w:tcW w:w="1600" w:type="dxa"/>
            <w:gridSpan w:val="2"/>
            <w:tcBorders>
              <w:top w:val="nil"/>
              <w:left w:val="nil"/>
              <w:bottom w:val="nil"/>
              <w:right w:val="nil"/>
            </w:tcBorders>
            <w:shd w:val="clear" w:color="auto" w:fill="auto"/>
            <w:vAlign w:val="bottom"/>
          </w:tcPr>
          <w:p w14:paraId="34FF17B7">
            <w:pPr>
              <w:widowControl/>
              <w:jc w:val="right"/>
              <w:rPr>
                <w:rFonts w:ascii="宋体" w:hAnsi="宋体" w:cs="宋体"/>
                <w:kern w:val="0"/>
                <w:sz w:val="20"/>
                <w:szCs w:val="20"/>
              </w:rPr>
            </w:pPr>
            <w:r>
              <w:rPr>
                <w:rFonts w:hint="eastAsia" w:ascii="宋体" w:hAnsi="宋体" w:cs="宋体"/>
                <w:kern w:val="0"/>
                <w:sz w:val="20"/>
                <w:szCs w:val="20"/>
              </w:rPr>
              <w:t>第</w:t>
            </w:r>
            <w:r>
              <w:rPr>
                <w:rFonts w:ascii="宋体" w:hAnsi="宋体" w:cs="宋体"/>
                <w:kern w:val="0"/>
                <w:sz w:val="20"/>
                <w:szCs w:val="20"/>
              </w:rPr>
              <w:t xml:space="preserve">1页 </w:t>
            </w:r>
            <w:r>
              <w:rPr>
                <w:rFonts w:hint="eastAsia" w:ascii="宋体" w:hAnsi="宋体" w:cs="宋体"/>
                <w:kern w:val="0"/>
                <w:sz w:val="20"/>
                <w:szCs w:val="20"/>
              </w:rPr>
              <w:t>共</w:t>
            </w:r>
            <w:r>
              <w:rPr>
                <w:rFonts w:ascii="宋体" w:hAnsi="宋体" w:cs="宋体"/>
                <w:kern w:val="0"/>
                <w:sz w:val="20"/>
                <w:szCs w:val="20"/>
              </w:rPr>
              <w:t>1页</w:t>
            </w:r>
          </w:p>
        </w:tc>
      </w:tr>
      <w:tr w14:paraId="2B6BFF2D">
        <w:tblPrEx>
          <w:tblCellMar>
            <w:top w:w="0" w:type="dxa"/>
            <w:left w:w="108" w:type="dxa"/>
            <w:bottom w:w="0" w:type="dxa"/>
            <w:right w:w="108" w:type="dxa"/>
          </w:tblCellMar>
        </w:tblPrEx>
        <w:trPr>
          <w:trHeight w:val="372" w:hRule="atLeast"/>
        </w:trPr>
        <w:tc>
          <w:tcPr>
            <w:tcW w:w="472" w:type="dxa"/>
            <w:vMerge w:val="restart"/>
            <w:tcBorders>
              <w:top w:val="single" w:color="auto" w:sz="4" w:space="0"/>
              <w:left w:val="single" w:color="auto" w:sz="4" w:space="0"/>
              <w:bottom w:val="single" w:color="000000" w:sz="4" w:space="0"/>
              <w:right w:val="single" w:color="000000" w:sz="4" w:space="0"/>
            </w:tcBorders>
            <w:shd w:val="clear" w:color="000000" w:fill="FFFFFF"/>
            <w:noWrap/>
            <w:vAlign w:val="center"/>
          </w:tcPr>
          <w:p w14:paraId="05D2D69A">
            <w:pPr>
              <w:widowControl/>
              <w:jc w:val="center"/>
              <w:rPr>
                <w:rFonts w:ascii="宋体" w:hAnsi="宋体" w:cs="宋体"/>
                <w:kern w:val="0"/>
                <w:sz w:val="20"/>
                <w:szCs w:val="20"/>
              </w:rPr>
            </w:pPr>
            <w:r>
              <w:rPr>
                <w:rFonts w:hint="eastAsia" w:ascii="宋体" w:hAnsi="宋体" w:cs="宋体"/>
                <w:kern w:val="0"/>
                <w:sz w:val="20"/>
                <w:szCs w:val="20"/>
              </w:rPr>
              <w:t>序号</w:t>
            </w:r>
          </w:p>
        </w:tc>
        <w:tc>
          <w:tcPr>
            <w:tcW w:w="3087"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14:paraId="356E3D07">
            <w:pPr>
              <w:widowControl/>
              <w:jc w:val="center"/>
              <w:rPr>
                <w:rFonts w:ascii="宋体" w:hAnsi="宋体" w:cs="宋体"/>
                <w:kern w:val="0"/>
                <w:sz w:val="20"/>
                <w:szCs w:val="20"/>
              </w:rPr>
            </w:pPr>
            <w:r>
              <w:rPr>
                <w:rFonts w:hint="eastAsia" w:ascii="宋体" w:hAnsi="宋体" w:cs="宋体"/>
                <w:kern w:val="0"/>
                <w:sz w:val="20"/>
                <w:szCs w:val="20"/>
              </w:rPr>
              <w:t>单位工程名称</w:t>
            </w:r>
          </w:p>
        </w:tc>
        <w:tc>
          <w:tcPr>
            <w:tcW w:w="992" w:type="dxa"/>
            <w:vMerge w:val="restart"/>
            <w:tcBorders>
              <w:top w:val="single" w:color="auto" w:sz="4" w:space="0"/>
              <w:left w:val="single" w:color="000000" w:sz="4" w:space="0"/>
              <w:bottom w:val="single" w:color="000000" w:sz="4" w:space="0"/>
              <w:right w:val="single" w:color="000000" w:sz="4" w:space="0"/>
            </w:tcBorders>
            <w:shd w:val="clear" w:color="000000" w:fill="FFFFFF"/>
            <w:noWrap/>
            <w:vAlign w:val="center"/>
          </w:tcPr>
          <w:p w14:paraId="2B225B83">
            <w:pPr>
              <w:widowControl/>
              <w:jc w:val="center"/>
              <w:rPr>
                <w:rFonts w:ascii="宋体" w:hAnsi="宋体" w:cs="宋体"/>
                <w:kern w:val="0"/>
                <w:sz w:val="20"/>
                <w:szCs w:val="20"/>
              </w:rPr>
            </w:pPr>
            <w:r>
              <w:rPr>
                <w:rFonts w:hint="eastAsia" w:ascii="宋体" w:hAnsi="宋体" w:cs="宋体"/>
                <w:kern w:val="0"/>
                <w:sz w:val="20"/>
                <w:szCs w:val="20"/>
              </w:rPr>
              <w:t>金额</w:t>
            </w:r>
            <w:r>
              <w:rPr>
                <w:rFonts w:ascii="宋体" w:hAnsi="宋体" w:cs="宋体"/>
                <w:kern w:val="0"/>
                <w:sz w:val="20"/>
                <w:szCs w:val="20"/>
              </w:rPr>
              <w:t>(元)</w:t>
            </w:r>
          </w:p>
        </w:tc>
        <w:tc>
          <w:tcPr>
            <w:tcW w:w="3828" w:type="dxa"/>
            <w:gridSpan w:val="4"/>
            <w:tcBorders>
              <w:top w:val="single" w:color="auto" w:sz="4" w:space="0"/>
              <w:left w:val="nil"/>
              <w:bottom w:val="single" w:color="000000" w:sz="4" w:space="0"/>
              <w:right w:val="single" w:color="000000" w:sz="4" w:space="0"/>
            </w:tcBorders>
            <w:shd w:val="clear" w:color="000000" w:fill="FFFFFF"/>
            <w:vAlign w:val="center"/>
          </w:tcPr>
          <w:p w14:paraId="43016E4F">
            <w:pPr>
              <w:widowControl/>
              <w:jc w:val="center"/>
              <w:rPr>
                <w:rFonts w:ascii="宋体" w:hAnsi="宋体" w:cs="宋体"/>
                <w:kern w:val="0"/>
                <w:sz w:val="20"/>
                <w:szCs w:val="20"/>
              </w:rPr>
            </w:pPr>
            <w:r>
              <w:rPr>
                <w:rFonts w:hint="eastAsia" w:ascii="宋体" w:hAnsi="宋体" w:cs="宋体"/>
                <w:kern w:val="0"/>
                <w:sz w:val="20"/>
                <w:szCs w:val="20"/>
              </w:rPr>
              <w:t>其中</w:t>
            </w:r>
          </w:p>
        </w:tc>
      </w:tr>
      <w:tr w14:paraId="43528E88">
        <w:tblPrEx>
          <w:tblCellMar>
            <w:top w:w="0" w:type="dxa"/>
            <w:left w:w="108" w:type="dxa"/>
            <w:bottom w:w="0" w:type="dxa"/>
            <w:right w:w="108" w:type="dxa"/>
          </w:tblCellMar>
        </w:tblPrEx>
        <w:trPr>
          <w:trHeight w:val="668" w:hRule="atLeast"/>
        </w:trPr>
        <w:tc>
          <w:tcPr>
            <w:tcW w:w="472" w:type="dxa"/>
            <w:vMerge w:val="continue"/>
            <w:tcBorders>
              <w:top w:val="single" w:color="auto" w:sz="4" w:space="0"/>
              <w:left w:val="single" w:color="auto" w:sz="4" w:space="0"/>
              <w:bottom w:val="single" w:color="000000" w:sz="4" w:space="0"/>
              <w:right w:val="single" w:color="000000" w:sz="4" w:space="0"/>
            </w:tcBorders>
            <w:vAlign w:val="center"/>
          </w:tcPr>
          <w:p w14:paraId="5041A34B">
            <w:pPr>
              <w:widowControl/>
              <w:jc w:val="left"/>
              <w:rPr>
                <w:rFonts w:ascii="宋体" w:hAnsi="宋体" w:cs="宋体"/>
                <w:kern w:val="0"/>
                <w:sz w:val="20"/>
                <w:szCs w:val="20"/>
              </w:rPr>
            </w:pPr>
          </w:p>
        </w:tc>
        <w:tc>
          <w:tcPr>
            <w:tcW w:w="3087" w:type="dxa"/>
            <w:vMerge w:val="continue"/>
            <w:tcBorders>
              <w:top w:val="single" w:color="auto" w:sz="4" w:space="0"/>
              <w:left w:val="single" w:color="000000" w:sz="4" w:space="0"/>
              <w:bottom w:val="single" w:color="000000" w:sz="4" w:space="0"/>
              <w:right w:val="single" w:color="000000" w:sz="4" w:space="0"/>
            </w:tcBorders>
            <w:vAlign w:val="center"/>
          </w:tcPr>
          <w:p w14:paraId="52E8B09F">
            <w:pPr>
              <w:widowControl/>
              <w:jc w:val="left"/>
              <w:rPr>
                <w:rFonts w:ascii="宋体" w:hAnsi="宋体" w:cs="宋体"/>
                <w:kern w:val="0"/>
                <w:sz w:val="20"/>
                <w:szCs w:val="20"/>
              </w:rPr>
            </w:pPr>
          </w:p>
        </w:tc>
        <w:tc>
          <w:tcPr>
            <w:tcW w:w="992" w:type="dxa"/>
            <w:vMerge w:val="continue"/>
            <w:tcBorders>
              <w:top w:val="single" w:color="auto" w:sz="4" w:space="0"/>
              <w:left w:val="single" w:color="000000" w:sz="4" w:space="0"/>
              <w:bottom w:val="single" w:color="000000" w:sz="4" w:space="0"/>
              <w:right w:val="single" w:color="000000" w:sz="4" w:space="0"/>
            </w:tcBorders>
            <w:vAlign w:val="center"/>
          </w:tcPr>
          <w:p w14:paraId="4428A691">
            <w:pPr>
              <w:widowControl/>
              <w:jc w:val="left"/>
              <w:rPr>
                <w:rFonts w:ascii="宋体" w:hAnsi="宋体" w:cs="宋体"/>
                <w:kern w:val="0"/>
                <w:sz w:val="20"/>
                <w:szCs w:val="20"/>
              </w:rPr>
            </w:pPr>
          </w:p>
        </w:tc>
        <w:tc>
          <w:tcPr>
            <w:tcW w:w="1276" w:type="dxa"/>
            <w:tcBorders>
              <w:top w:val="nil"/>
              <w:left w:val="nil"/>
              <w:bottom w:val="single" w:color="000000" w:sz="4" w:space="0"/>
              <w:right w:val="single" w:color="000000" w:sz="4" w:space="0"/>
            </w:tcBorders>
            <w:shd w:val="clear" w:color="000000" w:fill="FFFFFF"/>
            <w:vAlign w:val="center"/>
          </w:tcPr>
          <w:p w14:paraId="146146EA">
            <w:pPr>
              <w:widowControl/>
              <w:jc w:val="center"/>
              <w:rPr>
                <w:rFonts w:ascii="宋体" w:hAnsi="宋体" w:cs="宋体"/>
                <w:kern w:val="0"/>
                <w:sz w:val="20"/>
                <w:szCs w:val="20"/>
              </w:rPr>
            </w:pPr>
            <w:r>
              <w:rPr>
                <w:rFonts w:hint="eastAsia" w:ascii="宋体" w:hAnsi="宋体" w:cs="宋体"/>
                <w:kern w:val="0"/>
                <w:sz w:val="20"/>
                <w:szCs w:val="20"/>
              </w:rPr>
              <w:t>材料设备</w:t>
            </w:r>
            <w:r>
              <w:br w:type="textWrapping"/>
            </w:r>
            <w:r>
              <w:rPr>
                <w:rFonts w:hint="eastAsia" w:ascii="宋体" w:hAnsi="宋体" w:cs="宋体"/>
                <w:kern w:val="0"/>
                <w:sz w:val="20"/>
                <w:szCs w:val="20"/>
              </w:rPr>
              <w:t>暂估价</w:t>
            </w:r>
            <w:r>
              <w:rPr>
                <w:rFonts w:ascii="宋体" w:hAnsi="宋体" w:cs="宋体"/>
                <w:kern w:val="0"/>
                <w:sz w:val="20"/>
                <w:szCs w:val="20"/>
              </w:rPr>
              <w:t>(元)</w:t>
            </w:r>
          </w:p>
        </w:tc>
        <w:tc>
          <w:tcPr>
            <w:tcW w:w="1418" w:type="dxa"/>
            <w:gridSpan w:val="2"/>
            <w:tcBorders>
              <w:top w:val="nil"/>
              <w:left w:val="nil"/>
              <w:bottom w:val="single" w:color="000000" w:sz="4" w:space="0"/>
              <w:right w:val="single" w:color="000000" w:sz="4" w:space="0"/>
            </w:tcBorders>
            <w:shd w:val="clear" w:color="000000" w:fill="FFFFFF"/>
            <w:vAlign w:val="center"/>
          </w:tcPr>
          <w:p w14:paraId="13C19C21">
            <w:pPr>
              <w:widowControl/>
              <w:jc w:val="center"/>
              <w:rPr>
                <w:rFonts w:ascii="宋体" w:hAnsi="宋体" w:cs="宋体"/>
                <w:kern w:val="0"/>
                <w:sz w:val="20"/>
                <w:szCs w:val="20"/>
              </w:rPr>
            </w:pPr>
            <w:r>
              <w:rPr>
                <w:rFonts w:hint="eastAsia" w:ascii="宋体" w:hAnsi="宋体" w:cs="宋体"/>
                <w:kern w:val="0"/>
                <w:sz w:val="20"/>
                <w:szCs w:val="20"/>
              </w:rPr>
              <w:t>安全文明施工</w:t>
            </w:r>
            <w:r>
              <w:br w:type="textWrapping"/>
            </w:r>
            <w:r>
              <w:rPr>
                <w:rFonts w:hint="eastAsia" w:ascii="宋体" w:hAnsi="宋体" w:cs="宋体"/>
                <w:kern w:val="0"/>
                <w:sz w:val="20"/>
                <w:szCs w:val="20"/>
              </w:rPr>
              <w:t>措施费</w:t>
            </w:r>
            <w:r>
              <w:rPr>
                <w:rFonts w:ascii="宋体" w:hAnsi="宋体" w:cs="宋体"/>
                <w:kern w:val="0"/>
                <w:sz w:val="20"/>
                <w:szCs w:val="20"/>
              </w:rPr>
              <w:t>(元)</w:t>
            </w:r>
          </w:p>
        </w:tc>
        <w:tc>
          <w:tcPr>
            <w:tcW w:w="1134" w:type="dxa"/>
            <w:tcBorders>
              <w:top w:val="nil"/>
              <w:left w:val="nil"/>
              <w:bottom w:val="single" w:color="000000" w:sz="4" w:space="0"/>
              <w:right w:val="single" w:color="auto" w:sz="4" w:space="0"/>
            </w:tcBorders>
            <w:shd w:val="clear" w:color="000000" w:fill="FFFFFF"/>
            <w:vAlign w:val="center"/>
          </w:tcPr>
          <w:p w14:paraId="22AA3FBE">
            <w:pPr>
              <w:widowControl/>
              <w:jc w:val="center"/>
              <w:rPr>
                <w:rFonts w:ascii="宋体" w:hAnsi="宋体" w:cs="宋体"/>
                <w:kern w:val="0"/>
                <w:sz w:val="20"/>
                <w:szCs w:val="20"/>
              </w:rPr>
            </w:pPr>
            <w:r>
              <w:rPr>
                <w:rFonts w:hint="eastAsia" w:ascii="宋体" w:hAnsi="宋体" w:cs="宋体"/>
                <w:kern w:val="0"/>
                <w:sz w:val="20"/>
                <w:szCs w:val="20"/>
              </w:rPr>
              <w:t>规费</w:t>
            </w:r>
            <w:r>
              <w:br w:type="textWrapping"/>
            </w:r>
            <w:r>
              <w:rPr>
                <w:rFonts w:ascii="宋体" w:hAnsi="宋体" w:cs="宋体"/>
                <w:kern w:val="0"/>
                <w:sz w:val="20"/>
                <w:szCs w:val="20"/>
              </w:rPr>
              <w:t>(元)</w:t>
            </w:r>
          </w:p>
        </w:tc>
      </w:tr>
      <w:tr w14:paraId="3DF76751">
        <w:tblPrEx>
          <w:tblCellMar>
            <w:top w:w="0" w:type="dxa"/>
            <w:left w:w="108" w:type="dxa"/>
            <w:bottom w:w="0" w:type="dxa"/>
            <w:right w:w="108" w:type="dxa"/>
          </w:tblCellMar>
        </w:tblPrEx>
        <w:trPr>
          <w:trHeight w:val="462" w:hRule="atLeast"/>
        </w:trPr>
        <w:tc>
          <w:tcPr>
            <w:tcW w:w="472" w:type="dxa"/>
            <w:tcBorders>
              <w:top w:val="nil"/>
              <w:left w:val="single" w:color="auto" w:sz="4" w:space="0"/>
              <w:bottom w:val="single" w:color="auto" w:sz="4" w:space="0"/>
              <w:right w:val="single" w:color="auto" w:sz="4" w:space="0"/>
            </w:tcBorders>
            <w:shd w:val="clear" w:color="000000" w:fill="FFFFFF"/>
            <w:noWrap/>
            <w:vAlign w:val="center"/>
          </w:tcPr>
          <w:p w14:paraId="12B7492E">
            <w:pPr>
              <w:widowControl/>
              <w:jc w:val="center"/>
              <w:rPr>
                <w:rFonts w:ascii="宋体" w:hAnsi="宋体" w:cs="宋体"/>
                <w:kern w:val="0"/>
                <w:sz w:val="20"/>
                <w:szCs w:val="20"/>
              </w:rPr>
            </w:pPr>
            <w:r>
              <w:rPr>
                <w:rFonts w:ascii="宋体" w:hAnsi="宋体" w:cs="宋体"/>
                <w:kern w:val="0"/>
                <w:sz w:val="20"/>
                <w:szCs w:val="20"/>
              </w:rPr>
              <w:t>1</w:t>
            </w:r>
          </w:p>
        </w:tc>
        <w:tc>
          <w:tcPr>
            <w:tcW w:w="3087" w:type="dxa"/>
            <w:tcBorders>
              <w:top w:val="nil"/>
              <w:left w:val="nil"/>
              <w:bottom w:val="single" w:color="auto" w:sz="4" w:space="0"/>
              <w:right w:val="single" w:color="auto" w:sz="4" w:space="0"/>
            </w:tcBorders>
            <w:shd w:val="clear" w:color="000000" w:fill="FFFFFF"/>
            <w:vAlign w:val="center"/>
          </w:tcPr>
          <w:p w14:paraId="72D8F907">
            <w:pPr>
              <w:widowControl/>
              <w:jc w:val="center"/>
              <w:rPr>
                <w:rFonts w:ascii="宋体" w:hAnsi="宋体" w:cs="宋体"/>
                <w:kern w:val="0"/>
                <w:sz w:val="20"/>
                <w:szCs w:val="20"/>
              </w:rPr>
            </w:pPr>
          </w:p>
        </w:tc>
        <w:tc>
          <w:tcPr>
            <w:tcW w:w="992" w:type="dxa"/>
            <w:tcBorders>
              <w:top w:val="nil"/>
              <w:left w:val="nil"/>
              <w:bottom w:val="single" w:color="auto" w:sz="4" w:space="0"/>
              <w:right w:val="single" w:color="auto" w:sz="4" w:space="0"/>
            </w:tcBorders>
            <w:shd w:val="clear" w:color="000000" w:fill="FFFFFF"/>
            <w:noWrap/>
            <w:vAlign w:val="center"/>
          </w:tcPr>
          <w:p w14:paraId="23BBB87F">
            <w:pPr>
              <w:widowControl/>
              <w:jc w:val="center"/>
              <w:rPr>
                <w:rFonts w:ascii="宋体" w:hAnsi="宋体" w:cs="宋体"/>
                <w:kern w:val="0"/>
                <w:sz w:val="20"/>
                <w:szCs w:val="20"/>
              </w:rPr>
            </w:pPr>
          </w:p>
        </w:tc>
        <w:tc>
          <w:tcPr>
            <w:tcW w:w="1276" w:type="dxa"/>
            <w:tcBorders>
              <w:top w:val="nil"/>
              <w:left w:val="nil"/>
              <w:bottom w:val="single" w:color="auto" w:sz="4" w:space="0"/>
              <w:right w:val="single" w:color="auto" w:sz="4" w:space="0"/>
            </w:tcBorders>
            <w:shd w:val="clear" w:color="000000" w:fill="FFFFFF"/>
            <w:noWrap/>
            <w:vAlign w:val="center"/>
          </w:tcPr>
          <w:p w14:paraId="66CB1302">
            <w:pPr>
              <w:widowControl/>
              <w:jc w:val="center"/>
              <w:rPr>
                <w:rFonts w:ascii="宋体" w:hAnsi="宋体" w:cs="宋体"/>
                <w:kern w:val="0"/>
                <w:sz w:val="20"/>
                <w:szCs w:val="20"/>
              </w:rPr>
            </w:pPr>
          </w:p>
        </w:tc>
        <w:tc>
          <w:tcPr>
            <w:tcW w:w="1418" w:type="dxa"/>
            <w:gridSpan w:val="2"/>
            <w:tcBorders>
              <w:top w:val="nil"/>
              <w:left w:val="nil"/>
              <w:bottom w:val="single" w:color="auto" w:sz="4" w:space="0"/>
              <w:right w:val="single" w:color="auto" w:sz="4" w:space="0"/>
            </w:tcBorders>
            <w:shd w:val="clear" w:color="000000" w:fill="FFFFFF"/>
            <w:noWrap/>
            <w:vAlign w:val="center"/>
          </w:tcPr>
          <w:p w14:paraId="75683B55">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000000" w:fill="FFFFFF"/>
            <w:noWrap/>
            <w:vAlign w:val="center"/>
          </w:tcPr>
          <w:p w14:paraId="2098B1DB">
            <w:pPr>
              <w:widowControl/>
              <w:jc w:val="center"/>
              <w:rPr>
                <w:rFonts w:ascii="宋体" w:hAnsi="宋体" w:cs="宋体"/>
                <w:kern w:val="0"/>
                <w:sz w:val="20"/>
                <w:szCs w:val="20"/>
              </w:rPr>
            </w:pPr>
          </w:p>
        </w:tc>
      </w:tr>
      <w:tr w14:paraId="76B63CCF">
        <w:tblPrEx>
          <w:tblCellMar>
            <w:top w:w="0" w:type="dxa"/>
            <w:left w:w="108" w:type="dxa"/>
            <w:bottom w:w="0" w:type="dxa"/>
            <w:right w:w="108" w:type="dxa"/>
          </w:tblCellMar>
        </w:tblPrEx>
        <w:trPr>
          <w:trHeight w:val="462" w:hRule="atLeast"/>
        </w:trPr>
        <w:tc>
          <w:tcPr>
            <w:tcW w:w="472" w:type="dxa"/>
            <w:tcBorders>
              <w:top w:val="nil"/>
              <w:left w:val="single" w:color="auto" w:sz="4" w:space="0"/>
              <w:bottom w:val="single" w:color="auto" w:sz="4" w:space="0"/>
              <w:right w:val="single" w:color="auto" w:sz="4" w:space="0"/>
            </w:tcBorders>
            <w:shd w:val="clear" w:color="auto" w:fill="auto"/>
            <w:noWrap/>
            <w:vAlign w:val="center"/>
          </w:tcPr>
          <w:p w14:paraId="7B611542">
            <w:pPr>
              <w:widowControl/>
              <w:jc w:val="center"/>
              <w:rPr>
                <w:rFonts w:ascii="宋体" w:hAnsi="宋体" w:cs="宋体"/>
                <w:kern w:val="0"/>
                <w:sz w:val="20"/>
                <w:szCs w:val="20"/>
              </w:rPr>
            </w:pPr>
          </w:p>
        </w:tc>
        <w:tc>
          <w:tcPr>
            <w:tcW w:w="3087" w:type="dxa"/>
            <w:tcBorders>
              <w:top w:val="nil"/>
              <w:left w:val="nil"/>
              <w:bottom w:val="single" w:color="auto" w:sz="4" w:space="0"/>
              <w:right w:val="single" w:color="auto" w:sz="4" w:space="0"/>
            </w:tcBorders>
            <w:shd w:val="clear" w:color="auto" w:fill="auto"/>
            <w:noWrap/>
            <w:vAlign w:val="center"/>
          </w:tcPr>
          <w:p w14:paraId="2D823648">
            <w:pPr>
              <w:widowControl/>
              <w:jc w:val="center"/>
              <w:rPr>
                <w:rFonts w:ascii="宋体" w:hAnsi="宋体" w:cs="宋体"/>
                <w:kern w:val="0"/>
                <w:sz w:val="20"/>
                <w:szCs w:val="20"/>
              </w:rPr>
            </w:pPr>
          </w:p>
        </w:tc>
        <w:tc>
          <w:tcPr>
            <w:tcW w:w="992" w:type="dxa"/>
            <w:tcBorders>
              <w:top w:val="nil"/>
              <w:left w:val="nil"/>
              <w:bottom w:val="single" w:color="auto" w:sz="4" w:space="0"/>
              <w:right w:val="single" w:color="auto" w:sz="4" w:space="0"/>
            </w:tcBorders>
            <w:shd w:val="clear" w:color="auto" w:fill="auto"/>
            <w:noWrap/>
            <w:vAlign w:val="center"/>
          </w:tcPr>
          <w:p w14:paraId="620BDFC8">
            <w:pPr>
              <w:widowControl/>
              <w:jc w:val="center"/>
              <w:rPr>
                <w:rFonts w:ascii="宋体" w:hAnsi="宋体" w:cs="宋体"/>
                <w:kern w:val="0"/>
                <w:sz w:val="20"/>
                <w:szCs w:val="20"/>
              </w:rPr>
            </w:pPr>
          </w:p>
        </w:tc>
        <w:tc>
          <w:tcPr>
            <w:tcW w:w="1276" w:type="dxa"/>
            <w:tcBorders>
              <w:top w:val="nil"/>
              <w:left w:val="nil"/>
              <w:bottom w:val="single" w:color="auto" w:sz="4" w:space="0"/>
              <w:right w:val="single" w:color="auto" w:sz="4" w:space="0"/>
            </w:tcBorders>
            <w:shd w:val="clear" w:color="auto" w:fill="auto"/>
            <w:noWrap/>
            <w:vAlign w:val="center"/>
          </w:tcPr>
          <w:p w14:paraId="0AC6DADE">
            <w:pPr>
              <w:widowControl/>
              <w:jc w:val="center"/>
              <w:rPr>
                <w:rFonts w:ascii="宋体" w:hAnsi="宋体" w:cs="宋体"/>
                <w:kern w:val="0"/>
                <w:sz w:val="20"/>
                <w:szCs w:val="20"/>
              </w:rPr>
            </w:pPr>
          </w:p>
        </w:tc>
        <w:tc>
          <w:tcPr>
            <w:tcW w:w="1418" w:type="dxa"/>
            <w:gridSpan w:val="2"/>
            <w:tcBorders>
              <w:top w:val="nil"/>
              <w:left w:val="nil"/>
              <w:bottom w:val="single" w:color="auto" w:sz="4" w:space="0"/>
              <w:right w:val="single" w:color="auto" w:sz="4" w:space="0"/>
            </w:tcBorders>
            <w:shd w:val="clear" w:color="auto" w:fill="auto"/>
            <w:noWrap/>
            <w:vAlign w:val="center"/>
          </w:tcPr>
          <w:p w14:paraId="31E9C52E">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208D8117">
            <w:pPr>
              <w:widowControl/>
              <w:jc w:val="center"/>
              <w:rPr>
                <w:rFonts w:ascii="宋体" w:hAnsi="宋体" w:cs="宋体"/>
                <w:kern w:val="0"/>
                <w:sz w:val="20"/>
                <w:szCs w:val="20"/>
              </w:rPr>
            </w:pPr>
          </w:p>
        </w:tc>
      </w:tr>
      <w:tr w14:paraId="5868DBBA">
        <w:tblPrEx>
          <w:tblCellMar>
            <w:top w:w="0" w:type="dxa"/>
            <w:left w:w="108" w:type="dxa"/>
            <w:bottom w:w="0" w:type="dxa"/>
            <w:right w:w="108" w:type="dxa"/>
          </w:tblCellMar>
        </w:tblPrEx>
        <w:trPr>
          <w:trHeight w:val="462" w:hRule="atLeast"/>
        </w:trPr>
        <w:tc>
          <w:tcPr>
            <w:tcW w:w="472" w:type="dxa"/>
            <w:tcBorders>
              <w:top w:val="nil"/>
              <w:left w:val="single" w:color="auto" w:sz="4" w:space="0"/>
              <w:bottom w:val="single" w:color="auto" w:sz="4" w:space="0"/>
              <w:right w:val="single" w:color="auto" w:sz="4" w:space="0"/>
            </w:tcBorders>
            <w:shd w:val="clear" w:color="auto" w:fill="auto"/>
            <w:noWrap/>
            <w:vAlign w:val="center"/>
          </w:tcPr>
          <w:p w14:paraId="2102CD93">
            <w:pPr>
              <w:widowControl/>
              <w:jc w:val="center"/>
              <w:rPr>
                <w:rFonts w:ascii="宋体" w:hAnsi="宋体" w:cs="宋体"/>
                <w:kern w:val="0"/>
                <w:sz w:val="20"/>
                <w:szCs w:val="20"/>
              </w:rPr>
            </w:pPr>
          </w:p>
        </w:tc>
        <w:tc>
          <w:tcPr>
            <w:tcW w:w="3087" w:type="dxa"/>
            <w:tcBorders>
              <w:top w:val="nil"/>
              <w:left w:val="nil"/>
              <w:bottom w:val="single" w:color="auto" w:sz="4" w:space="0"/>
              <w:right w:val="single" w:color="auto" w:sz="4" w:space="0"/>
            </w:tcBorders>
            <w:shd w:val="clear" w:color="auto" w:fill="auto"/>
            <w:noWrap/>
            <w:vAlign w:val="center"/>
          </w:tcPr>
          <w:p w14:paraId="62A6C6FF">
            <w:pPr>
              <w:widowControl/>
              <w:jc w:val="center"/>
              <w:rPr>
                <w:rFonts w:ascii="宋体" w:hAnsi="宋体" w:cs="宋体"/>
                <w:kern w:val="0"/>
                <w:sz w:val="20"/>
                <w:szCs w:val="20"/>
              </w:rPr>
            </w:pPr>
          </w:p>
        </w:tc>
        <w:tc>
          <w:tcPr>
            <w:tcW w:w="992" w:type="dxa"/>
            <w:tcBorders>
              <w:top w:val="nil"/>
              <w:left w:val="nil"/>
              <w:bottom w:val="single" w:color="auto" w:sz="4" w:space="0"/>
              <w:right w:val="single" w:color="auto" w:sz="4" w:space="0"/>
            </w:tcBorders>
            <w:shd w:val="clear" w:color="auto" w:fill="auto"/>
            <w:noWrap/>
            <w:vAlign w:val="center"/>
          </w:tcPr>
          <w:p w14:paraId="5863E377">
            <w:pPr>
              <w:widowControl/>
              <w:jc w:val="center"/>
              <w:rPr>
                <w:rFonts w:ascii="宋体" w:hAnsi="宋体" w:cs="宋体"/>
                <w:kern w:val="0"/>
                <w:sz w:val="20"/>
                <w:szCs w:val="20"/>
              </w:rPr>
            </w:pPr>
          </w:p>
        </w:tc>
        <w:tc>
          <w:tcPr>
            <w:tcW w:w="1276" w:type="dxa"/>
            <w:tcBorders>
              <w:top w:val="nil"/>
              <w:left w:val="nil"/>
              <w:bottom w:val="single" w:color="auto" w:sz="4" w:space="0"/>
              <w:right w:val="single" w:color="auto" w:sz="4" w:space="0"/>
            </w:tcBorders>
            <w:shd w:val="clear" w:color="auto" w:fill="auto"/>
            <w:noWrap/>
            <w:vAlign w:val="center"/>
          </w:tcPr>
          <w:p w14:paraId="46B11C36">
            <w:pPr>
              <w:widowControl/>
              <w:jc w:val="center"/>
              <w:rPr>
                <w:rFonts w:ascii="宋体" w:hAnsi="宋体" w:cs="宋体"/>
                <w:kern w:val="0"/>
                <w:sz w:val="20"/>
                <w:szCs w:val="20"/>
              </w:rPr>
            </w:pPr>
          </w:p>
        </w:tc>
        <w:tc>
          <w:tcPr>
            <w:tcW w:w="1418" w:type="dxa"/>
            <w:gridSpan w:val="2"/>
            <w:tcBorders>
              <w:top w:val="nil"/>
              <w:left w:val="nil"/>
              <w:bottom w:val="single" w:color="auto" w:sz="4" w:space="0"/>
              <w:right w:val="single" w:color="auto" w:sz="4" w:space="0"/>
            </w:tcBorders>
            <w:shd w:val="clear" w:color="auto" w:fill="auto"/>
            <w:noWrap/>
            <w:vAlign w:val="center"/>
          </w:tcPr>
          <w:p w14:paraId="0D6CA49E">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600BC3D9">
            <w:pPr>
              <w:widowControl/>
              <w:jc w:val="center"/>
              <w:rPr>
                <w:rFonts w:ascii="宋体" w:hAnsi="宋体" w:cs="宋体"/>
                <w:kern w:val="0"/>
                <w:sz w:val="20"/>
                <w:szCs w:val="20"/>
              </w:rPr>
            </w:pPr>
          </w:p>
        </w:tc>
      </w:tr>
      <w:tr w14:paraId="4D1B6696">
        <w:tblPrEx>
          <w:tblCellMar>
            <w:top w:w="0" w:type="dxa"/>
            <w:left w:w="108" w:type="dxa"/>
            <w:bottom w:w="0" w:type="dxa"/>
            <w:right w:w="108" w:type="dxa"/>
          </w:tblCellMar>
        </w:tblPrEx>
        <w:trPr>
          <w:trHeight w:val="462" w:hRule="atLeast"/>
        </w:trPr>
        <w:tc>
          <w:tcPr>
            <w:tcW w:w="472" w:type="dxa"/>
            <w:tcBorders>
              <w:top w:val="nil"/>
              <w:left w:val="single" w:color="auto" w:sz="4" w:space="0"/>
              <w:bottom w:val="single" w:color="auto" w:sz="4" w:space="0"/>
              <w:right w:val="single" w:color="auto" w:sz="4" w:space="0"/>
            </w:tcBorders>
            <w:shd w:val="clear" w:color="auto" w:fill="auto"/>
            <w:noWrap/>
            <w:vAlign w:val="center"/>
          </w:tcPr>
          <w:p w14:paraId="4243DCC3">
            <w:pPr>
              <w:widowControl/>
              <w:jc w:val="center"/>
              <w:rPr>
                <w:rFonts w:ascii="宋体" w:hAnsi="宋体" w:cs="宋体"/>
                <w:kern w:val="0"/>
                <w:sz w:val="20"/>
                <w:szCs w:val="20"/>
              </w:rPr>
            </w:pPr>
          </w:p>
        </w:tc>
        <w:tc>
          <w:tcPr>
            <w:tcW w:w="3087" w:type="dxa"/>
            <w:tcBorders>
              <w:top w:val="nil"/>
              <w:left w:val="nil"/>
              <w:bottom w:val="single" w:color="auto" w:sz="4" w:space="0"/>
              <w:right w:val="single" w:color="auto" w:sz="4" w:space="0"/>
            </w:tcBorders>
            <w:shd w:val="clear" w:color="auto" w:fill="auto"/>
            <w:noWrap/>
            <w:vAlign w:val="center"/>
          </w:tcPr>
          <w:p w14:paraId="52412FC0">
            <w:pPr>
              <w:widowControl/>
              <w:jc w:val="center"/>
              <w:rPr>
                <w:rFonts w:ascii="宋体" w:hAnsi="宋体" w:cs="宋体"/>
                <w:kern w:val="0"/>
                <w:sz w:val="20"/>
                <w:szCs w:val="20"/>
              </w:rPr>
            </w:pPr>
          </w:p>
        </w:tc>
        <w:tc>
          <w:tcPr>
            <w:tcW w:w="992" w:type="dxa"/>
            <w:tcBorders>
              <w:top w:val="nil"/>
              <w:left w:val="nil"/>
              <w:bottom w:val="single" w:color="auto" w:sz="4" w:space="0"/>
              <w:right w:val="single" w:color="auto" w:sz="4" w:space="0"/>
            </w:tcBorders>
            <w:shd w:val="clear" w:color="auto" w:fill="auto"/>
            <w:noWrap/>
            <w:vAlign w:val="center"/>
          </w:tcPr>
          <w:p w14:paraId="7D7FA111">
            <w:pPr>
              <w:widowControl/>
              <w:jc w:val="center"/>
              <w:rPr>
                <w:rFonts w:ascii="宋体" w:hAnsi="宋体" w:cs="宋体"/>
                <w:kern w:val="0"/>
                <w:sz w:val="20"/>
                <w:szCs w:val="20"/>
              </w:rPr>
            </w:pPr>
          </w:p>
        </w:tc>
        <w:tc>
          <w:tcPr>
            <w:tcW w:w="1276" w:type="dxa"/>
            <w:tcBorders>
              <w:top w:val="nil"/>
              <w:left w:val="nil"/>
              <w:bottom w:val="single" w:color="auto" w:sz="4" w:space="0"/>
              <w:right w:val="single" w:color="auto" w:sz="4" w:space="0"/>
            </w:tcBorders>
            <w:shd w:val="clear" w:color="auto" w:fill="auto"/>
            <w:noWrap/>
            <w:vAlign w:val="center"/>
          </w:tcPr>
          <w:p w14:paraId="12B94810">
            <w:pPr>
              <w:widowControl/>
              <w:jc w:val="center"/>
              <w:rPr>
                <w:rFonts w:ascii="宋体" w:hAnsi="宋体" w:cs="宋体"/>
                <w:kern w:val="0"/>
                <w:sz w:val="20"/>
                <w:szCs w:val="20"/>
              </w:rPr>
            </w:pPr>
          </w:p>
        </w:tc>
        <w:tc>
          <w:tcPr>
            <w:tcW w:w="1418" w:type="dxa"/>
            <w:gridSpan w:val="2"/>
            <w:tcBorders>
              <w:top w:val="nil"/>
              <w:left w:val="nil"/>
              <w:bottom w:val="single" w:color="auto" w:sz="4" w:space="0"/>
              <w:right w:val="single" w:color="auto" w:sz="4" w:space="0"/>
            </w:tcBorders>
            <w:shd w:val="clear" w:color="auto" w:fill="auto"/>
            <w:noWrap/>
            <w:vAlign w:val="center"/>
          </w:tcPr>
          <w:p w14:paraId="033FD9A1">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4911ED24">
            <w:pPr>
              <w:widowControl/>
              <w:jc w:val="center"/>
              <w:rPr>
                <w:rFonts w:ascii="宋体" w:hAnsi="宋体" w:cs="宋体"/>
                <w:kern w:val="0"/>
                <w:sz w:val="20"/>
                <w:szCs w:val="20"/>
              </w:rPr>
            </w:pPr>
          </w:p>
        </w:tc>
      </w:tr>
      <w:tr w14:paraId="5A82F13C">
        <w:tblPrEx>
          <w:tblCellMar>
            <w:top w:w="0" w:type="dxa"/>
            <w:left w:w="108" w:type="dxa"/>
            <w:bottom w:w="0" w:type="dxa"/>
            <w:right w:w="108" w:type="dxa"/>
          </w:tblCellMar>
        </w:tblPrEx>
        <w:trPr>
          <w:trHeight w:val="462" w:hRule="atLeast"/>
        </w:trPr>
        <w:tc>
          <w:tcPr>
            <w:tcW w:w="472" w:type="dxa"/>
            <w:tcBorders>
              <w:top w:val="nil"/>
              <w:left w:val="single" w:color="auto" w:sz="4" w:space="0"/>
              <w:bottom w:val="single" w:color="auto" w:sz="4" w:space="0"/>
              <w:right w:val="single" w:color="auto" w:sz="4" w:space="0"/>
            </w:tcBorders>
            <w:shd w:val="clear" w:color="auto" w:fill="auto"/>
            <w:noWrap/>
            <w:vAlign w:val="center"/>
          </w:tcPr>
          <w:p w14:paraId="423D46CC">
            <w:pPr>
              <w:widowControl/>
              <w:jc w:val="center"/>
              <w:rPr>
                <w:rFonts w:ascii="宋体" w:hAnsi="宋体" w:cs="宋体"/>
                <w:kern w:val="0"/>
                <w:sz w:val="20"/>
                <w:szCs w:val="20"/>
              </w:rPr>
            </w:pPr>
          </w:p>
        </w:tc>
        <w:tc>
          <w:tcPr>
            <w:tcW w:w="3087" w:type="dxa"/>
            <w:tcBorders>
              <w:top w:val="nil"/>
              <w:left w:val="nil"/>
              <w:bottom w:val="single" w:color="auto" w:sz="4" w:space="0"/>
              <w:right w:val="single" w:color="auto" w:sz="4" w:space="0"/>
            </w:tcBorders>
            <w:shd w:val="clear" w:color="auto" w:fill="auto"/>
            <w:noWrap/>
            <w:vAlign w:val="center"/>
          </w:tcPr>
          <w:p w14:paraId="6B797765">
            <w:pPr>
              <w:widowControl/>
              <w:jc w:val="center"/>
              <w:rPr>
                <w:rFonts w:ascii="宋体" w:hAnsi="宋体" w:cs="宋体"/>
                <w:kern w:val="0"/>
                <w:sz w:val="20"/>
                <w:szCs w:val="20"/>
              </w:rPr>
            </w:pPr>
          </w:p>
        </w:tc>
        <w:tc>
          <w:tcPr>
            <w:tcW w:w="992" w:type="dxa"/>
            <w:tcBorders>
              <w:top w:val="nil"/>
              <w:left w:val="nil"/>
              <w:bottom w:val="single" w:color="auto" w:sz="4" w:space="0"/>
              <w:right w:val="single" w:color="auto" w:sz="4" w:space="0"/>
            </w:tcBorders>
            <w:shd w:val="clear" w:color="auto" w:fill="auto"/>
            <w:noWrap/>
            <w:vAlign w:val="center"/>
          </w:tcPr>
          <w:p w14:paraId="21E09D2B">
            <w:pPr>
              <w:widowControl/>
              <w:jc w:val="center"/>
              <w:rPr>
                <w:rFonts w:ascii="宋体" w:hAnsi="宋体" w:cs="宋体"/>
                <w:kern w:val="0"/>
                <w:sz w:val="20"/>
                <w:szCs w:val="20"/>
              </w:rPr>
            </w:pPr>
          </w:p>
        </w:tc>
        <w:tc>
          <w:tcPr>
            <w:tcW w:w="1276" w:type="dxa"/>
            <w:tcBorders>
              <w:top w:val="nil"/>
              <w:left w:val="nil"/>
              <w:bottom w:val="single" w:color="auto" w:sz="4" w:space="0"/>
              <w:right w:val="single" w:color="auto" w:sz="4" w:space="0"/>
            </w:tcBorders>
            <w:shd w:val="clear" w:color="auto" w:fill="auto"/>
            <w:noWrap/>
            <w:vAlign w:val="center"/>
          </w:tcPr>
          <w:p w14:paraId="5D8D030E">
            <w:pPr>
              <w:widowControl/>
              <w:jc w:val="center"/>
              <w:rPr>
                <w:rFonts w:ascii="宋体" w:hAnsi="宋体" w:cs="宋体"/>
                <w:kern w:val="0"/>
                <w:sz w:val="20"/>
                <w:szCs w:val="20"/>
              </w:rPr>
            </w:pPr>
          </w:p>
        </w:tc>
        <w:tc>
          <w:tcPr>
            <w:tcW w:w="1418" w:type="dxa"/>
            <w:gridSpan w:val="2"/>
            <w:tcBorders>
              <w:top w:val="nil"/>
              <w:left w:val="nil"/>
              <w:bottom w:val="single" w:color="auto" w:sz="4" w:space="0"/>
              <w:right w:val="single" w:color="auto" w:sz="4" w:space="0"/>
            </w:tcBorders>
            <w:shd w:val="clear" w:color="auto" w:fill="auto"/>
            <w:noWrap/>
            <w:vAlign w:val="center"/>
          </w:tcPr>
          <w:p w14:paraId="60D4200D">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0CED7051">
            <w:pPr>
              <w:widowControl/>
              <w:jc w:val="center"/>
              <w:rPr>
                <w:rFonts w:ascii="宋体" w:hAnsi="宋体" w:cs="宋体"/>
                <w:kern w:val="0"/>
                <w:sz w:val="20"/>
                <w:szCs w:val="20"/>
              </w:rPr>
            </w:pPr>
          </w:p>
        </w:tc>
      </w:tr>
      <w:tr w14:paraId="5A2A6378">
        <w:tblPrEx>
          <w:tblCellMar>
            <w:top w:w="0" w:type="dxa"/>
            <w:left w:w="108" w:type="dxa"/>
            <w:bottom w:w="0" w:type="dxa"/>
            <w:right w:w="108" w:type="dxa"/>
          </w:tblCellMar>
        </w:tblPrEx>
        <w:trPr>
          <w:trHeight w:val="462" w:hRule="atLeast"/>
        </w:trPr>
        <w:tc>
          <w:tcPr>
            <w:tcW w:w="3559"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14:paraId="22C57011">
            <w:pPr>
              <w:widowControl/>
              <w:jc w:val="center"/>
              <w:rPr>
                <w:rFonts w:ascii="宋体" w:hAnsi="宋体" w:cs="宋体"/>
                <w:kern w:val="0"/>
                <w:sz w:val="20"/>
                <w:szCs w:val="20"/>
              </w:rPr>
            </w:pPr>
            <w:r>
              <w:rPr>
                <w:rFonts w:hint="eastAsia" w:ascii="宋体" w:hAnsi="宋体" w:cs="宋体"/>
                <w:kern w:val="0"/>
                <w:sz w:val="20"/>
                <w:szCs w:val="20"/>
              </w:rPr>
              <w:t>合</w:t>
            </w:r>
            <w:r>
              <w:rPr>
                <w:rFonts w:ascii="宋体" w:hAnsi="宋体" w:cs="宋体"/>
                <w:kern w:val="0"/>
                <w:sz w:val="20"/>
                <w:szCs w:val="20"/>
              </w:rPr>
              <w:t xml:space="preserve">    </w:t>
            </w:r>
            <w:r>
              <w:rPr>
                <w:rFonts w:hint="eastAsia" w:ascii="宋体" w:hAnsi="宋体" w:cs="宋体"/>
                <w:kern w:val="0"/>
                <w:sz w:val="20"/>
                <w:szCs w:val="20"/>
              </w:rPr>
              <w:t>计</w:t>
            </w:r>
          </w:p>
        </w:tc>
        <w:tc>
          <w:tcPr>
            <w:tcW w:w="992" w:type="dxa"/>
            <w:tcBorders>
              <w:top w:val="nil"/>
              <w:left w:val="nil"/>
              <w:bottom w:val="single" w:color="auto" w:sz="4" w:space="0"/>
              <w:right w:val="single" w:color="auto" w:sz="4" w:space="0"/>
            </w:tcBorders>
            <w:shd w:val="clear" w:color="auto" w:fill="auto"/>
            <w:noWrap/>
            <w:vAlign w:val="center"/>
          </w:tcPr>
          <w:p w14:paraId="7582E52E">
            <w:pPr>
              <w:widowControl/>
              <w:jc w:val="center"/>
              <w:rPr>
                <w:rFonts w:ascii="宋体" w:hAnsi="宋体" w:cs="宋体"/>
                <w:kern w:val="0"/>
                <w:sz w:val="20"/>
                <w:szCs w:val="20"/>
              </w:rPr>
            </w:pPr>
          </w:p>
        </w:tc>
        <w:tc>
          <w:tcPr>
            <w:tcW w:w="1276" w:type="dxa"/>
            <w:tcBorders>
              <w:top w:val="nil"/>
              <w:left w:val="nil"/>
              <w:bottom w:val="single" w:color="auto" w:sz="4" w:space="0"/>
              <w:right w:val="single" w:color="auto" w:sz="4" w:space="0"/>
            </w:tcBorders>
            <w:shd w:val="clear" w:color="auto" w:fill="auto"/>
            <w:noWrap/>
            <w:vAlign w:val="center"/>
          </w:tcPr>
          <w:p w14:paraId="51387203">
            <w:pPr>
              <w:widowControl/>
              <w:jc w:val="center"/>
              <w:rPr>
                <w:rFonts w:ascii="宋体" w:hAnsi="宋体" w:cs="宋体"/>
                <w:kern w:val="0"/>
                <w:sz w:val="20"/>
                <w:szCs w:val="20"/>
              </w:rPr>
            </w:pPr>
          </w:p>
        </w:tc>
        <w:tc>
          <w:tcPr>
            <w:tcW w:w="1418" w:type="dxa"/>
            <w:gridSpan w:val="2"/>
            <w:tcBorders>
              <w:top w:val="nil"/>
              <w:left w:val="nil"/>
              <w:bottom w:val="single" w:color="auto" w:sz="4" w:space="0"/>
              <w:right w:val="single" w:color="auto" w:sz="4" w:space="0"/>
            </w:tcBorders>
            <w:shd w:val="clear" w:color="auto" w:fill="auto"/>
            <w:noWrap/>
            <w:vAlign w:val="center"/>
          </w:tcPr>
          <w:p w14:paraId="7A848965">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69377833">
            <w:pPr>
              <w:widowControl/>
              <w:jc w:val="center"/>
              <w:rPr>
                <w:rFonts w:ascii="宋体" w:hAnsi="宋体" w:cs="宋体"/>
                <w:kern w:val="0"/>
                <w:sz w:val="20"/>
                <w:szCs w:val="20"/>
              </w:rPr>
            </w:pPr>
          </w:p>
        </w:tc>
      </w:tr>
    </w:tbl>
    <w:p w14:paraId="267FE570">
      <w:pPr>
        <w:keepNext/>
        <w:keepLines/>
        <w:spacing w:before="280" w:after="290" w:line="376" w:lineRule="auto"/>
        <w:outlineLvl w:val="3"/>
        <w:rPr>
          <w:rFonts w:ascii="Arial" w:hAnsi="Arial" w:eastAsia="黑体"/>
          <w:b/>
          <w:bCs/>
          <w:sz w:val="28"/>
          <w:szCs w:val="28"/>
        </w:rPr>
      </w:pPr>
      <w:r>
        <w:rPr>
          <w:rFonts w:hint="eastAsia" w:ascii="Arial" w:hAnsi="Arial" w:eastAsia="黑体"/>
          <w:b/>
          <w:bCs/>
          <w:sz w:val="28"/>
          <w:szCs w:val="28"/>
        </w:rPr>
        <w:t>（3）</w:t>
      </w:r>
      <w:r>
        <w:rPr>
          <w:rFonts w:hint="eastAsia" w:ascii="Arial" w:hAnsi="Arial" w:eastAsia="黑体"/>
          <w:b/>
          <w:bCs/>
          <w:kern w:val="0"/>
          <w:sz w:val="28"/>
          <w:szCs w:val="28"/>
        </w:rPr>
        <w:t>单位工程报价汇总表</w:t>
      </w:r>
    </w:p>
    <w:tbl>
      <w:tblPr>
        <w:tblStyle w:val="50"/>
        <w:tblW w:w="8379" w:type="dxa"/>
        <w:tblInd w:w="93" w:type="dxa"/>
        <w:tblLayout w:type="autofit"/>
        <w:tblCellMar>
          <w:top w:w="0" w:type="dxa"/>
          <w:left w:w="108" w:type="dxa"/>
          <w:bottom w:w="0" w:type="dxa"/>
          <w:right w:w="108" w:type="dxa"/>
        </w:tblCellMar>
      </w:tblPr>
      <w:tblGrid>
        <w:gridCol w:w="441"/>
        <w:gridCol w:w="850"/>
        <w:gridCol w:w="4253"/>
        <w:gridCol w:w="1134"/>
        <w:gridCol w:w="1701"/>
      </w:tblGrid>
      <w:tr w14:paraId="4529F10D">
        <w:tblPrEx>
          <w:tblCellMar>
            <w:top w:w="0" w:type="dxa"/>
            <w:left w:w="108" w:type="dxa"/>
            <w:bottom w:w="0" w:type="dxa"/>
            <w:right w:w="108" w:type="dxa"/>
          </w:tblCellMar>
        </w:tblPrEx>
        <w:trPr>
          <w:trHeight w:val="668" w:hRule="atLeast"/>
        </w:trPr>
        <w:tc>
          <w:tcPr>
            <w:tcW w:w="1291" w:type="dxa"/>
            <w:gridSpan w:val="2"/>
            <w:tcBorders>
              <w:top w:val="nil"/>
              <w:left w:val="nil"/>
              <w:bottom w:val="nil"/>
              <w:right w:val="nil"/>
            </w:tcBorders>
            <w:shd w:val="clear" w:color="auto" w:fill="auto"/>
            <w:vAlign w:val="bottom"/>
          </w:tcPr>
          <w:p w14:paraId="6CDA73F4">
            <w:pPr>
              <w:widowControl/>
              <w:jc w:val="left"/>
              <w:rPr>
                <w:rFonts w:ascii="宋体" w:hAnsi="宋体" w:cs="宋体"/>
                <w:kern w:val="0"/>
                <w:sz w:val="20"/>
                <w:szCs w:val="20"/>
              </w:rPr>
            </w:pPr>
            <w:r>
              <w:rPr>
                <w:rFonts w:hint="eastAsia" w:ascii="宋体" w:hAnsi="宋体" w:cs="宋体"/>
                <w:kern w:val="0"/>
                <w:sz w:val="20"/>
                <w:szCs w:val="20"/>
              </w:rPr>
              <w:t>工程名称</w:t>
            </w:r>
            <w:r>
              <w:rPr>
                <w:rFonts w:ascii="宋体" w:hAnsi="宋体" w:cs="宋体"/>
                <w:kern w:val="0"/>
                <w:sz w:val="20"/>
                <w:szCs w:val="20"/>
              </w:rPr>
              <w:t xml:space="preserve">: </w:t>
            </w:r>
          </w:p>
        </w:tc>
        <w:tc>
          <w:tcPr>
            <w:tcW w:w="4253" w:type="dxa"/>
            <w:tcBorders>
              <w:top w:val="nil"/>
              <w:left w:val="nil"/>
              <w:bottom w:val="nil"/>
              <w:right w:val="nil"/>
            </w:tcBorders>
            <w:shd w:val="clear" w:color="auto" w:fill="auto"/>
            <w:vAlign w:val="bottom"/>
          </w:tcPr>
          <w:p w14:paraId="54433C4D">
            <w:pPr>
              <w:widowControl/>
              <w:jc w:val="center"/>
              <w:rPr>
                <w:rFonts w:ascii="宋体" w:hAnsi="宋体" w:cs="宋体"/>
                <w:kern w:val="0"/>
                <w:sz w:val="20"/>
                <w:szCs w:val="20"/>
              </w:rPr>
            </w:pPr>
          </w:p>
        </w:tc>
        <w:tc>
          <w:tcPr>
            <w:tcW w:w="2835" w:type="dxa"/>
            <w:gridSpan w:val="2"/>
            <w:tcBorders>
              <w:top w:val="nil"/>
              <w:left w:val="nil"/>
              <w:bottom w:val="nil"/>
              <w:right w:val="nil"/>
            </w:tcBorders>
            <w:shd w:val="clear" w:color="auto" w:fill="auto"/>
            <w:vAlign w:val="bottom"/>
          </w:tcPr>
          <w:p w14:paraId="39346022">
            <w:pPr>
              <w:widowControl/>
              <w:jc w:val="right"/>
              <w:rPr>
                <w:rFonts w:ascii="宋体" w:hAnsi="宋体" w:cs="宋体"/>
                <w:kern w:val="0"/>
                <w:sz w:val="20"/>
                <w:szCs w:val="20"/>
              </w:rPr>
            </w:pPr>
            <w:r>
              <w:rPr>
                <w:rFonts w:hint="eastAsia" w:ascii="宋体" w:hAnsi="宋体" w:cs="宋体"/>
                <w:kern w:val="0"/>
                <w:sz w:val="20"/>
                <w:szCs w:val="20"/>
              </w:rPr>
              <w:t>第</w:t>
            </w:r>
            <w:r>
              <w:rPr>
                <w:rFonts w:ascii="宋体" w:hAnsi="宋体" w:cs="宋体"/>
                <w:kern w:val="0"/>
                <w:sz w:val="20"/>
                <w:szCs w:val="20"/>
              </w:rPr>
              <w:t xml:space="preserve">1页 </w:t>
            </w:r>
            <w:r>
              <w:rPr>
                <w:rFonts w:hint="eastAsia" w:ascii="宋体" w:hAnsi="宋体" w:cs="宋体"/>
                <w:kern w:val="0"/>
                <w:sz w:val="20"/>
                <w:szCs w:val="20"/>
              </w:rPr>
              <w:t>共</w:t>
            </w:r>
            <w:r>
              <w:rPr>
                <w:rFonts w:ascii="宋体" w:hAnsi="宋体" w:cs="宋体"/>
                <w:kern w:val="0"/>
                <w:sz w:val="20"/>
                <w:szCs w:val="20"/>
              </w:rPr>
              <w:t>1页</w:t>
            </w:r>
          </w:p>
        </w:tc>
      </w:tr>
      <w:tr w14:paraId="496084B8">
        <w:tblPrEx>
          <w:tblCellMar>
            <w:top w:w="0" w:type="dxa"/>
            <w:left w:w="108" w:type="dxa"/>
            <w:bottom w:w="0" w:type="dxa"/>
            <w:right w:w="108" w:type="dxa"/>
          </w:tblCellMar>
        </w:tblPrEx>
        <w:trPr>
          <w:trHeight w:val="1174" w:hRule="atLeast"/>
        </w:trPr>
        <w:tc>
          <w:tcPr>
            <w:tcW w:w="441" w:type="dxa"/>
            <w:tcBorders>
              <w:top w:val="single" w:color="auto" w:sz="4" w:space="0"/>
              <w:left w:val="single" w:color="auto" w:sz="4" w:space="0"/>
              <w:bottom w:val="single" w:color="000000" w:sz="4" w:space="0"/>
              <w:right w:val="single" w:color="000000" w:sz="4" w:space="0"/>
            </w:tcBorders>
            <w:shd w:val="clear" w:color="000000" w:fill="FFFFFF"/>
            <w:noWrap/>
            <w:vAlign w:val="center"/>
          </w:tcPr>
          <w:p w14:paraId="56DC2258">
            <w:pPr>
              <w:widowControl/>
              <w:jc w:val="center"/>
              <w:rPr>
                <w:rFonts w:ascii="宋体" w:hAnsi="宋体" w:cs="宋体"/>
                <w:kern w:val="0"/>
                <w:sz w:val="20"/>
                <w:szCs w:val="20"/>
              </w:rPr>
            </w:pPr>
            <w:r>
              <w:rPr>
                <w:rFonts w:ascii="宋体" w:hAnsi="宋体" w:cs="宋体"/>
                <w:kern w:val="0"/>
                <w:sz w:val="20"/>
                <w:szCs w:val="20"/>
              </w:rPr>
              <w:t xml:space="preserve"> 序 号</w:t>
            </w:r>
          </w:p>
        </w:tc>
        <w:tc>
          <w:tcPr>
            <w:tcW w:w="5103" w:type="dxa"/>
            <w:gridSpan w:val="2"/>
            <w:tcBorders>
              <w:top w:val="single" w:color="auto" w:sz="4" w:space="0"/>
              <w:left w:val="nil"/>
              <w:bottom w:val="single" w:color="000000" w:sz="4" w:space="0"/>
              <w:right w:val="single" w:color="000000" w:sz="4" w:space="0"/>
            </w:tcBorders>
            <w:shd w:val="clear" w:color="000000" w:fill="FFFFFF"/>
            <w:vAlign w:val="center"/>
          </w:tcPr>
          <w:p w14:paraId="5D4D2352">
            <w:pPr>
              <w:widowControl/>
              <w:jc w:val="center"/>
              <w:rPr>
                <w:rFonts w:ascii="宋体" w:hAnsi="宋体" w:cs="宋体"/>
                <w:kern w:val="0"/>
                <w:sz w:val="20"/>
                <w:szCs w:val="20"/>
              </w:rPr>
            </w:pPr>
            <w:r>
              <w:rPr>
                <w:rFonts w:hint="eastAsia" w:ascii="宋体" w:hAnsi="宋体" w:cs="宋体"/>
                <w:kern w:val="0"/>
                <w:sz w:val="20"/>
                <w:szCs w:val="20"/>
              </w:rPr>
              <w:t>汇</w:t>
            </w:r>
            <w:r>
              <w:rPr>
                <w:rFonts w:ascii="宋体" w:hAnsi="宋体" w:cs="宋体"/>
                <w:kern w:val="0"/>
                <w:sz w:val="20"/>
                <w:szCs w:val="20"/>
              </w:rPr>
              <w:t xml:space="preserve"> </w:t>
            </w:r>
            <w:r>
              <w:rPr>
                <w:rFonts w:hint="eastAsia" w:ascii="宋体" w:hAnsi="宋体" w:cs="宋体"/>
                <w:kern w:val="0"/>
                <w:sz w:val="20"/>
                <w:szCs w:val="20"/>
              </w:rPr>
              <w:t>总</w:t>
            </w:r>
            <w:r>
              <w:rPr>
                <w:rFonts w:ascii="宋体" w:hAnsi="宋体" w:cs="宋体"/>
                <w:kern w:val="0"/>
                <w:sz w:val="20"/>
                <w:szCs w:val="20"/>
              </w:rPr>
              <w:t xml:space="preserve"> </w:t>
            </w:r>
            <w:r>
              <w:rPr>
                <w:rFonts w:hint="eastAsia" w:ascii="宋体" w:hAnsi="宋体" w:cs="宋体"/>
                <w:kern w:val="0"/>
                <w:sz w:val="20"/>
                <w:szCs w:val="20"/>
              </w:rPr>
              <w:t>内</w:t>
            </w:r>
            <w:r>
              <w:rPr>
                <w:rFonts w:ascii="宋体" w:hAnsi="宋体" w:cs="宋体"/>
                <w:kern w:val="0"/>
                <w:sz w:val="20"/>
                <w:szCs w:val="20"/>
              </w:rPr>
              <w:t xml:space="preserve"> </w:t>
            </w:r>
            <w:r>
              <w:rPr>
                <w:rFonts w:hint="eastAsia" w:ascii="宋体" w:hAnsi="宋体" w:cs="宋体"/>
                <w:kern w:val="0"/>
                <w:sz w:val="20"/>
                <w:szCs w:val="20"/>
              </w:rPr>
              <w:t>容</w:t>
            </w:r>
          </w:p>
        </w:tc>
        <w:tc>
          <w:tcPr>
            <w:tcW w:w="1134" w:type="dxa"/>
            <w:tcBorders>
              <w:top w:val="single" w:color="auto" w:sz="4" w:space="0"/>
              <w:left w:val="nil"/>
              <w:bottom w:val="single" w:color="000000" w:sz="4" w:space="0"/>
              <w:right w:val="single" w:color="000000" w:sz="4" w:space="0"/>
            </w:tcBorders>
            <w:shd w:val="clear" w:color="000000" w:fill="FFFFFF"/>
            <w:noWrap/>
            <w:vAlign w:val="center"/>
          </w:tcPr>
          <w:p w14:paraId="2A7989D6">
            <w:pPr>
              <w:widowControl/>
              <w:jc w:val="center"/>
              <w:rPr>
                <w:rFonts w:ascii="宋体" w:hAnsi="宋体" w:cs="宋体"/>
                <w:kern w:val="0"/>
                <w:sz w:val="20"/>
                <w:szCs w:val="20"/>
              </w:rPr>
            </w:pPr>
            <w:r>
              <w:rPr>
                <w:rFonts w:hint="eastAsia" w:ascii="宋体" w:hAnsi="宋体" w:cs="宋体"/>
                <w:kern w:val="0"/>
                <w:sz w:val="20"/>
                <w:szCs w:val="20"/>
              </w:rPr>
              <w:t>金额</w:t>
            </w:r>
            <w:r>
              <w:rPr>
                <w:rFonts w:ascii="宋体" w:hAnsi="宋体" w:cs="宋体"/>
                <w:kern w:val="0"/>
                <w:sz w:val="20"/>
                <w:szCs w:val="20"/>
              </w:rPr>
              <w:t>(元)</w:t>
            </w:r>
          </w:p>
        </w:tc>
        <w:tc>
          <w:tcPr>
            <w:tcW w:w="1701" w:type="dxa"/>
            <w:tcBorders>
              <w:top w:val="single" w:color="auto" w:sz="4" w:space="0"/>
              <w:left w:val="nil"/>
              <w:bottom w:val="single" w:color="000000" w:sz="4" w:space="0"/>
              <w:right w:val="single" w:color="auto" w:sz="4" w:space="0"/>
            </w:tcBorders>
            <w:shd w:val="clear" w:color="000000" w:fill="FFFFFF"/>
            <w:vAlign w:val="center"/>
          </w:tcPr>
          <w:p w14:paraId="61E55D7C">
            <w:pPr>
              <w:widowControl/>
              <w:jc w:val="center"/>
              <w:rPr>
                <w:rFonts w:ascii="宋体" w:hAnsi="宋体" w:cs="宋体"/>
                <w:kern w:val="0"/>
                <w:sz w:val="20"/>
                <w:szCs w:val="20"/>
              </w:rPr>
            </w:pPr>
            <w:r>
              <w:rPr>
                <w:rFonts w:hint="eastAsia" w:ascii="宋体" w:hAnsi="宋体" w:cs="宋体"/>
                <w:kern w:val="0"/>
                <w:sz w:val="20"/>
                <w:szCs w:val="20"/>
              </w:rPr>
              <w:t>其中：</w:t>
            </w:r>
            <w:r>
              <w:br w:type="textWrapping"/>
            </w:r>
            <w:r>
              <w:rPr>
                <w:rFonts w:hint="eastAsia" w:ascii="宋体" w:hAnsi="宋体" w:cs="宋体"/>
                <w:kern w:val="0"/>
                <w:sz w:val="20"/>
                <w:szCs w:val="20"/>
              </w:rPr>
              <w:t>材料设备暂估价</w:t>
            </w:r>
            <w:r>
              <w:br w:type="textWrapping"/>
            </w:r>
            <w:r>
              <w:rPr>
                <w:rFonts w:ascii="宋体" w:hAnsi="宋体" w:cs="宋体"/>
                <w:kern w:val="0"/>
                <w:sz w:val="20"/>
                <w:szCs w:val="20"/>
              </w:rPr>
              <w:t>(元)</w:t>
            </w:r>
          </w:p>
        </w:tc>
      </w:tr>
      <w:tr w14:paraId="5993B68E">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000000" w:fill="FFFFFF"/>
            <w:noWrap/>
            <w:vAlign w:val="center"/>
          </w:tcPr>
          <w:p w14:paraId="0234D0BA">
            <w:pPr>
              <w:widowControl/>
              <w:jc w:val="center"/>
              <w:rPr>
                <w:rFonts w:ascii="宋体" w:hAnsi="宋体" w:cs="宋体"/>
                <w:kern w:val="0"/>
                <w:sz w:val="20"/>
                <w:szCs w:val="20"/>
              </w:rPr>
            </w:pPr>
          </w:p>
        </w:tc>
        <w:tc>
          <w:tcPr>
            <w:tcW w:w="5103" w:type="dxa"/>
            <w:gridSpan w:val="2"/>
            <w:tcBorders>
              <w:top w:val="single" w:color="auto" w:sz="4" w:space="0"/>
              <w:left w:val="nil"/>
              <w:bottom w:val="single" w:color="auto" w:sz="4" w:space="0"/>
              <w:right w:val="single" w:color="000000" w:sz="4" w:space="0"/>
            </w:tcBorders>
            <w:shd w:val="clear" w:color="000000" w:fill="FFFFFF"/>
            <w:vAlign w:val="center"/>
          </w:tcPr>
          <w:p w14:paraId="5A1B4786">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000000" w:fill="FFFFFF"/>
            <w:noWrap/>
            <w:vAlign w:val="center"/>
          </w:tcPr>
          <w:p w14:paraId="22D9E415">
            <w:pPr>
              <w:widowControl/>
              <w:jc w:val="center"/>
              <w:rPr>
                <w:rFonts w:ascii="宋体" w:hAnsi="宋体" w:cs="宋体"/>
                <w:kern w:val="0"/>
                <w:sz w:val="20"/>
                <w:szCs w:val="20"/>
              </w:rPr>
            </w:pPr>
          </w:p>
        </w:tc>
        <w:tc>
          <w:tcPr>
            <w:tcW w:w="1701" w:type="dxa"/>
            <w:tcBorders>
              <w:top w:val="nil"/>
              <w:left w:val="nil"/>
              <w:bottom w:val="single" w:color="auto" w:sz="4" w:space="0"/>
              <w:right w:val="single" w:color="auto" w:sz="4" w:space="0"/>
            </w:tcBorders>
            <w:shd w:val="clear" w:color="000000" w:fill="FFFFFF"/>
            <w:noWrap/>
            <w:vAlign w:val="center"/>
          </w:tcPr>
          <w:p w14:paraId="44CC79FE">
            <w:pPr>
              <w:widowControl/>
              <w:jc w:val="center"/>
              <w:rPr>
                <w:rFonts w:ascii="宋体" w:hAnsi="宋体" w:cs="宋体"/>
                <w:kern w:val="0"/>
                <w:sz w:val="20"/>
                <w:szCs w:val="20"/>
              </w:rPr>
            </w:pPr>
          </w:p>
        </w:tc>
      </w:tr>
      <w:tr w14:paraId="3D67E606">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000000" w:fill="FFFFFF"/>
            <w:noWrap/>
            <w:vAlign w:val="center"/>
          </w:tcPr>
          <w:p w14:paraId="3FFE0BE3">
            <w:pPr>
              <w:widowControl/>
              <w:jc w:val="center"/>
              <w:rPr>
                <w:rFonts w:ascii="宋体" w:hAnsi="宋体" w:cs="宋体"/>
                <w:kern w:val="0"/>
                <w:sz w:val="20"/>
                <w:szCs w:val="20"/>
              </w:rPr>
            </w:pPr>
          </w:p>
        </w:tc>
        <w:tc>
          <w:tcPr>
            <w:tcW w:w="5103" w:type="dxa"/>
            <w:gridSpan w:val="2"/>
            <w:tcBorders>
              <w:top w:val="single" w:color="auto" w:sz="4" w:space="0"/>
              <w:left w:val="nil"/>
              <w:bottom w:val="single" w:color="auto" w:sz="4" w:space="0"/>
              <w:right w:val="single" w:color="000000" w:sz="4" w:space="0"/>
            </w:tcBorders>
            <w:shd w:val="clear" w:color="000000" w:fill="FFFFFF"/>
            <w:vAlign w:val="center"/>
          </w:tcPr>
          <w:p w14:paraId="034AEA2A">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000000" w:fill="FFFFFF"/>
            <w:noWrap/>
            <w:vAlign w:val="center"/>
          </w:tcPr>
          <w:p w14:paraId="7574DC09">
            <w:pPr>
              <w:widowControl/>
              <w:jc w:val="center"/>
              <w:rPr>
                <w:rFonts w:ascii="宋体" w:hAnsi="宋体" w:cs="宋体"/>
                <w:kern w:val="0"/>
                <w:sz w:val="20"/>
                <w:szCs w:val="20"/>
              </w:rPr>
            </w:pPr>
          </w:p>
        </w:tc>
        <w:tc>
          <w:tcPr>
            <w:tcW w:w="1701" w:type="dxa"/>
            <w:tcBorders>
              <w:top w:val="nil"/>
              <w:left w:val="nil"/>
              <w:bottom w:val="single" w:color="auto" w:sz="4" w:space="0"/>
              <w:right w:val="single" w:color="auto" w:sz="4" w:space="0"/>
            </w:tcBorders>
            <w:shd w:val="clear" w:color="000000" w:fill="FFFFFF"/>
            <w:noWrap/>
            <w:vAlign w:val="center"/>
          </w:tcPr>
          <w:p w14:paraId="1FA89F7C">
            <w:pPr>
              <w:widowControl/>
              <w:jc w:val="center"/>
              <w:rPr>
                <w:rFonts w:ascii="宋体" w:hAnsi="宋体" w:cs="宋体"/>
                <w:kern w:val="0"/>
                <w:sz w:val="20"/>
                <w:szCs w:val="20"/>
              </w:rPr>
            </w:pPr>
          </w:p>
        </w:tc>
      </w:tr>
      <w:tr w14:paraId="1FD7FDFA">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000000" w:fill="FFFFFF"/>
            <w:noWrap/>
            <w:vAlign w:val="center"/>
          </w:tcPr>
          <w:p w14:paraId="08A71F1A">
            <w:pPr>
              <w:widowControl/>
              <w:jc w:val="center"/>
              <w:rPr>
                <w:rFonts w:ascii="宋体" w:hAnsi="宋体" w:cs="宋体"/>
                <w:kern w:val="0"/>
                <w:sz w:val="20"/>
                <w:szCs w:val="20"/>
              </w:rPr>
            </w:pPr>
          </w:p>
        </w:tc>
        <w:tc>
          <w:tcPr>
            <w:tcW w:w="5103" w:type="dxa"/>
            <w:gridSpan w:val="2"/>
            <w:tcBorders>
              <w:top w:val="single" w:color="auto" w:sz="4" w:space="0"/>
              <w:left w:val="nil"/>
              <w:bottom w:val="single" w:color="auto" w:sz="4" w:space="0"/>
              <w:right w:val="single" w:color="000000" w:sz="4" w:space="0"/>
            </w:tcBorders>
            <w:shd w:val="clear" w:color="000000" w:fill="FFFFFF"/>
            <w:vAlign w:val="center"/>
          </w:tcPr>
          <w:p w14:paraId="046ABFD3">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000000" w:fill="FFFFFF"/>
            <w:noWrap/>
            <w:vAlign w:val="center"/>
          </w:tcPr>
          <w:p w14:paraId="72F1F267">
            <w:pPr>
              <w:widowControl/>
              <w:jc w:val="center"/>
              <w:rPr>
                <w:rFonts w:ascii="宋体" w:hAnsi="宋体" w:cs="宋体"/>
                <w:kern w:val="0"/>
                <w:sz w:val="20"/>
                <w:szCs w:val="20"/>
              </w:rPr>
            </w:pPr>
          </w:p>
        </w:tc>
        <w:tc>
          <w:tcPr>
            <w:tcW w:w="1701" w:type="dxa"/>
            <w:tcBorders>
              <w:top w:val="nil"/>
              <w:left w:val="nil"/>
              <w:bottom w:val="single" w:color="auto" w:sz="4" w:space="0"/>
              <w:right w:val="single" w:color="auto" w:sz="4" w:space="0"/>
            </w:tcBorders>
            <w:shd w:val="clear" w:color="000000" w:fill="FFFFFF"/>
            <w:noWrap/>
            <w:vAlign w:val="center"/>
          </w:tcPr>
          <w:p w14:paraId="3C0ED227">
            <w:pPr>
              <w:widowControl/>
              <w:jc w:val="center"/>
              <w:rPr>
                <w:rFonts w:ascii="宋体" w:hAnsi="宋体" w:cs="宋体"/>
                <w:kern w:val="0"/>
                <w:sz w:val="20"/>
                <w:szCs w:val="20"/>
              </w:rPr>
            </w:pPr>
          </w:p>
        </w:tc>
      </w:tr>
      <w:tr w14:paraId="4C563AFC">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000000" w:fill="FFFFFF"/>
            <w:noWrap/>
            <w:vAlign w:val="center"/>
          </w:tcPr>
          <w:p w14:paraId="65D50CC3">
            <w:pPr>
              <w:widowControl/>
              <w:jc w:val="center"/>
              <w:rPr>
                <w:rFonts w:ascii="宋体" w:hAnsi="宋体" w:cs="宋体"/>
                <w:kern w:val="0"/>
                <w:sz w:val="20"/>
                <w:szCs w:val="20"/>
              </w:rPr>
            </w:pPr>
          </w:p>
        </w:tc>
        <w:tc>
          <w:tcPr>
            <w:tcW w:w="5103" w:type="dxa"/>
            <w:gridSpan w:val="2"/>
            <w:tcBorders>
              <w:top w:val="single" w:color="auto" w:sz="4" w:space="0"/>
              <w:left w:val="nil"/>
              <w:bottom w:val="single" w:color="auto" w:sz="4" w:space="0"/>
              <w:right w:val="single" w:color="000000" w:sz="4" w:space="0"/>
            </w:tcBorders>
            <w:shd w:val="clear" w:color="000000" w:fill="FFFFFF"/>
            <w:vAlign w:val="center"/>
          </w:tcPr>
          <w:p w14:paraId="2401E951">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000000" w:fill="FFFFFF"/>
            <w:noWrap/>
            <w:vAlign w:val="center"/>
          </w:tcPr>
          <w:p w14:paraId="473CABF6">
            <w:pPr>
              <w:widowControl/>
              <w:jc w:val="center"/>
              <w:rPr>
                <w:rFonts w:ascii="宋体" w:hAnsi="宋体" w:cs="宋体"/>
                <w:kern w:val="0"/>
                <w:sz w:val="20"/>
                <w:szCs w:val="20"/>
              </w:rPr>
            </w:pPr>
          </w:p>
        </w:tc>
        <w:tc>
          <w:tcPr>
            <w:tcW w:w="1701" w:type="dxa"/>
            <w:tcBorders>
              <w:top w:val="nil"/>
              <w:left w:val="nil"/>
              <w:bottom w:val="single" w:color="auto" w:sz="4" w:space="0"/>
              <w:right w:val="single" w:color="auto" w:sz="4" w:space="0"/>
            </w:tcBorders>
            <w:shd w:val="clear" w:color="000000" w:fill="FFFFFF"/>
            <w:noWrap/>
            <w:vAlign w:val="center"/>
          </w:tcPr>
          <w:p w14:paraId="07B9399D">
            <w:pPr>
              <w:widowControl/>
              <w:jc w:val="center"/>
              <w:rPr>
                <w:rFonts w:ascii="宋体" w:hAnsi="宋体" w:cs="宋体"/>
                <w:kern w:val="0"/>
                <w:sz w:val="20"/>
                <w:szCs w:val="20"/>
              </w:rPr>
            </w:pPr>
          </w:p>
        </w:tc>
      </w:tr>
      <w:tr w14:paraId="4B228CED">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000000" w:fill="FFFFFF"/>
            <w:noWrap/>
            <w:vAlign w:val="center"/>
          </w:tcPr>
          <w:p w14:paraId="49AEAE2F">
            <w:pPr>
              <w:widowControl/>
              <w:jc w:val="center"/>
              <w:rPr>
                <w:rFonts w:ascii="宋体" w:hAnsi="宋体" w:cs="宋体"/>
                <w:kern w:val="0"/>
                <w:sz w:val="20"/>
                <w:szCs w:val="20"/>
              </w:rPr>
            </w:pPr>
          </w:p>
        </w:tc>
        <w:tc>
          <w:tcPr>
            <w:tcW w:w="5103" w:type="dxa"/>
            <w:gridSpan w:val="2"/>
            <w:tcBorders>
              <w:top w:val="single" w:color="auto" w:sz="4" w:space="0"/>
              <w:left w:val="nil"/>
              <w:bottom w:val="single" w:color="auto" w:sz="4" w:space="0"/>
              <w:right w:val="single" w:color="000000" w:sz="4" w:space="0"/>
            </w:tcBorders>
            <w:shd w:val="clear" w:color="000000" w:fill="FFFFFF"/>
            <w:vAlign w:val="center"/>
          </w:tcPr>
          <w:p w14:paraId="50480617">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000000" w:fill="FFFFFF"/>
            <w:noWrap/>
            <w:vAlign w:val="center"/>
          </w:tcPr>
          <w:p w14:paraId="413885AC">
            <w:pPr>
              <w:widowControl/>
              <w:jc w:val="center"/>
              <w:rPr>
                <w:rFonts w:ascii="宋体" w:hAnsi="宋体" w:cs="宋体"/>
                <w:kern w:val="0"/>
                <w:sz w:val="20"/>
                <w:szCs w:val="20"/>
              </w:rPr>
            </w:pPr>
          </w:p>
        </w:tc>
        <w:tc>
          <w:tcPr>
            <w:tcW w:w="1701" w:type="dxa"/>
            <w:tcBorders>
              <w:top w:val="nil"/>
              <w:left w:val="nil"/>
              <w:bottom w:val="single" w:color="auto" w:sz="4" w:space="0"/>
              <w:right w:val="single" w:color="auto" w:sz="4" w:space="0"/>
            </w:tcBorders>
            <w:shd w:val="clear" w:color="000000" w:fill="FFFFFF"/>
            <w:noWrap/>
            <w:vAlign w:val="center"/>
          </w:tcPr>
          <w:p w14:paraId="410BDC00">
            <w:pPr>
              <w:widowControl/>
              <w:jc w:val="center"/>
              <w:rPr>
                <w:rFonts w:ascii="宋体" w:hAnsi="宋体" w:cs="宋体"/>
                <w:kern w:val="0"/>
                <w:sz w:val="20"/>
                <w:szCs w:val="20"/>
              </w:rPr>
            </w:pPr>
          </w:p>
        </w:tc>
      </w:tr>
      <w:tr w14:paraId="61B7EE5D">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000000" w:fill="FFFFFF"/>
            <w:noWrap/>
            <w:vAlign w:val="center"/>
          </w:tcPr>
          <w:p w14:paraId="49BAC90F">
            <w:pPr>
              <w:widowControl/>
              <w:jc w:val="center"/>
              <w:rPr>
                <w:rFonts w:ascii="宋体" w:hAnsi="宋体" w:cs="宋体"/>
                <w:kern w:val="0"/>
                <w:sz w:val="20"/>
                <w:szCs w:val="20"/>
              </w:rPr>
            </w:pPr>
          </w:p>
        </w:tc>
        <w:tc>
          <w:tcPr>
            <w:tcW w:w="5103" w:type="dxa"/>
            <w:gridSpan w:val="2"/>
            <w:tcBorders>
              <w:top w:val="single" w:color="auto" w:sz="4" w:space="0"/>
              <w:left w:val="nil"/>
              <w:bottom w:val="single" w:color="auto" w:sz="4" w:space="0"/>
              <w:right w:val="single" w:color="000000" w:sz="4" w:space="0"/>
            </w:tcBorders>
            <w:shd w:val="clear" w:color="000000" w:fill="FFFFFF"/>
            <w:vAlign w:val="center"/>
          </w:tcPr>
          <w:p w14:paraId="788DCE7A">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000000" w:fill="FFFFFF"/>
            <w:noWrap/>
            <w:vAlign w:val="center"/>
          </w:tcPr>
          <w:p w14:paraId="297F7803">
            <w:pPr>
              <w:widowControl/>
              <w:jc w:val="center"/>
              <w:rPr>
                <w:rFonts w:ascii="宋体" w:hAnsi="宋体" w:cs="宋体"/>
                <w:kern w:val="0"/>
                <w:sz w:val="20"/>
                <w:szCs w:val="20"/>
              </w:rPr>
            </w:pPr>
          </w:p>
        </w:tc>
        <w:tc>
          <w:tcPr>
            <w:tcW w:w="1701" w:type="dxa"/>
            <w:tcBorders>
              <w:top w:val="nil"/>
              <w:left w:val="nil"/>
              <w:bottom w:val="single" w:color="auto" w:sz="4" w:space="0"/>
              <w:right w:val="single" w:color="auto" w:sz="4" w:space="0"/>
            </w:tcBorders>
            <w:shd w:val="clear" w:color="000000" w:fill="FFFFFF"/>
            <w:noWrap/>
            <w:vAlign w:val="center"/>
          </w:tcPr>
          <w:p w14:paraId="47B94102">
            <w:pPr>
              <w:widowControl/>
              <w:jc w:val="center"/>
              <w:rPr>
                <w:rFonts w:ascii="宋体" w:hAnsi="宋体" w:cs="宋体"/>
                <w:kern w:val="0"/>
                <w:sz w:val="20"/>
                <w:szCs w:val="20"/>
              </w:rPr>
            </w:pPr>
          </w:p>
        </w:tc>
      </w:tr>
      <w:tr w14:paraId="358EF56F">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000000" w:fill="FFFFFF"/>
            <w:noWrap/>
            <w:vAlign w:val="center"/>
          </w:tcPr>
          <w:p w14:paraId="452128A0">
            <w:pPr>
              <w:widowControl/>
              <w:jc w:val="center"/>
              <w:rPr>
                <w:rFonts w:ascii="宋体" w:hAnsi="宋体" w:cs="宋体"/>
                <w:kern w:val="0"/>
                <w:sz w:val="20"/>
                <w:szCs w:val="20"/>
              </w:rPr>
            </w:pPr>
          </w:p>
        </w:tc>
        <w:tc>
          <w:tcPr>
            <w:tcW w:w="5103" w:type="dxa"/>
            <w:gridSpan w:val="2"/>
            <w:tcBorders>
              <w:top w:val="single" w:color="auto" w:sz="4" w:space="0"/>
              <w:left w:val="nil"/>
              <w:bottom w:val="single" w:color="auto" w:sz="4" w:space="0"/>
              <w:right w:val="single" w:color="000000" w:sz="4" w:space="0"/>
            </w:tcBorders>
            <w:shd w:val="clear" w:color="000000" w:fill="FFFFFF"/>
            <w:vAlign w:val="center"/>
          </w:tcPr>
          <w:p w14:paraId="79FB9F06">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000000" w:fill="FFFFFF"/>
            <w:noWrap/>
            <w:vAlign w:val="center"/>
          </w:tcPr>
          <w:p w14:paraId="36868374">
            <w:pPr>
              <w:widowControl/>
              <w:jc w:val="center"/>
              <w:rPr>
                <w:rFonts w:ascii="宋体" w:hAnsi="宋体" w:cs="宋体"/>
                <w:kern w:val="0"/>
                <w:sz w:val="20"/>
                <w:szCs w:val="20"/>
              </w:rPr>
            </w:pPr>
          </w:p>
        </w:tc>
        <w:tc>
          <w:tcPr>
            <w:tcW w:w="1701" w:type="dxa"/>
            <w:tcBorders>
              <w:top w:val="nil"/>
              <w:left w:val="nil"/>
              <w:bottom w:val="single" w:color="auto" w:sz="4" w:space="0"/>
              <w:right w:val="single" w:color="auto" w:sz="4" w:space="0"/>
            </w:tcBorders>
            <w:shd w:val="clear" w:color="000000" w:fill="FFFFFF"/>
            <w:noWrap/>
            <w:vAlign w:val="center"/>
          </w:tcPr>
          <w:p w14:paraId="64BA7541">
            <w:pPr>
              <w:widowControl/>
              <w:jc w:val="center"/>
              <w:rPr>
                <w:rFonts w:ascii="宋体" w:hAnsi="宋体" w:cs="宋体"/>
                <w:kern w:val="0"/>
                <w:sz w:val="20"/>
                <w:szCs w:val="20"/>
              </w:rPr>
            </w:pPr>
          </w:p>
        </w:tc>
      </w:tr>
      <w:tr w14:paraId="1B0797A7">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auto" w:fill="auto"/>
            <w:noWrap/>
            <w:vAlign w:val="center"/>
          </w:tcPr>
          <w:p w14:paraId="30AE63BF">
            <w:pPr>
              <w:widowControl/>
              <w:jc w:val="center"/>
              <w:rPr>
                <w:rFonts w:ascii="宋体" w:hAnsi="宋体" w:cs="宋体"/>
                <w:kern w:val="0"/>
                <w:sz w:val="20"/>
                <w:szCs w:val="20"/>
              </w:rPr>
            </w:pPr>
          </w:p>
        </w:tc>
        <w:tc>
          <w:tcPr>
            <w:tcW w:w="5103" w:type="dxa"/>
            <w:gridSpan w:val="2"/>
            <w:tcBorders>
              <w:top w:val="single" w:color="auto" w:sz="4" w:space="0"/>
              <w:left w:val="nil"/>
              <w:bottom w:val="single" w:color="auto" w:sz="4" w:space="0"/>
              <w:right w:val="single" w:color="000000" w:sz="4" w:space="0"/>
            </w:tcBorders>
            <w:shd w:val="clear" w:color="auto" w:fill="auto"/>
            <w:noWrap/>
            <w:vAlign w:val="center"/>
          </w:tcPr>
          <w:p w14:paraId="1E636F6F">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0E1ECA88">
            <w:pPr>
              <w:widowControl/>
              <w:jc w:val="center"/>
              <w:rPr>
                <w:rFonts w:ascii="宋体" w:hAnsi="宋体" w:cs="宋体"/>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14:paraId="349D6642">
            <w:pPr>
              <w:widowControl/>
              <w:jc w:val="center"/>
              <w:rPr>
                <w:rFonts w:ascii="宋体" w:hAnsi="宋体" w:cs="宋体"/>
                <w:kern w:val="0"/>
                <w:sz w:val="20"/>
                <w:szCs w:val="20"/>
              </w:rPr>
            </w:pPr>
          </w:p>
        </w:tc>
      </w:tr>
      <w:tr w14:paraId="6390E5AB">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auto" w:fill="auto"/>
            <w:noWrap/>
            <w:vAlign w:val="center"/>
          </w:tcPr>
          <w:p w14:paraId="2527BE14">
            <w:pPr>
              <w:widowControl/>
              <w:jc w:val="center"/>
              <w:rPr>
                <w:rFonts w:ascii="宋体" w:hAnsi="宋体" w:cs="宋体"/>
                <w:kern w:val="0"/>
                <w:sz w:val="20"/>
                <w:szCs w:val="20"/>
              </w:rPr>
            </w:pPr>
          </w:p>
        </w:tc>
        <w:tc>
          <w:tcPr>
            <w:tcW w:w="5103" w:type="dxa"/>
            <w:gridSpan w:val="2"/>
            <w:tcBorders>
              <w:top w:val="single" w:color="auto" w:sz="4" w:space="0"/>
              <w:left w:val="nil"/>
              <w:bottom w:val="single" w:color="auto" w:sz="4" w:space="0"/>
              <w:right w:val="single" w:color="000000" w:sz="4" w:space="0"/>
            </w:tcBorders>
            <w:shd w:val="clear" w:color="auto" w:fill="auto"/>
            <w:noWrap/>
            <w:vAlign w:val="center"/>
          </w:tcPr>
          <w:p w14:paraId="4E9DB296">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27434AE7">
            <w:pPr>
              <w:widowControl/>
              <w:jc w:val="center"/>
              <w:rPr>
                <w:rFonts w:ascii="宋体" w:hAnsi="宋体" w:cs="宋体"/>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14:paraId="52B8CAB8">
            <w:pPr>
              <w:widowControl/>
              <w:jc w:val="center"/>
              <w:rPr>
                <w:rFonts w:ascii="宋体" w:hAnsi="宋体" w:cs="宋体"/>
                <w:kern w:val="0"/>
                <w:sz w:val="20"/>
                <w:szCs w:val="20"/>
              </w:rPr>
            </w:pPr>
          </w:p>
        </w:tc>
      </w:tr>
      <w:tr w14:paraId="673D88DC">
        <w:tblPrEx>
          <w:tblCellMar>
            <w:top w:w="0" w:type="dxa"/>
            <w:left w:w="108" w:type="dxa"/>
            <w:bottom w:w="0" w:type="dxa"/>
            <w:right w:w="108" w:type="dxa"/>
          </w:tblCellMar>
        </w:tblPrEx>
        <w:trPr>
          <w:trHeight w:val="462" w:hRule="atLeast"/>
        </w:trPr>
        <w:tc>
          <w:tcPr>
            <w:tcW w:w="554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14:paraId="1B640823">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244F8CC5">
            <w:pPr>
              <w:widowControl/>
              <w:jc w:val="center"/>
              <w:rPr>
                <w:rFonts w:ascii="宋体" w:hAnsi="宋体" w:cs="宋体"/>
                <w:kern w:val="0"/>
                <w:sz w:val="20"/>
                <w:szCs w:val="20"/>
              </w:rPr>
            </w:pPr>
          </w:p>
        </w:tc>
        <w:tc>
          <w:tcPr>
            <w:tcW w:w="1701" w:type="dxa"/>
            <w:tcBorders>
              <w:top w:val="nil"/>
              <w:left w:val="nil"/>
              <w:bottom w:val="single" w:color="auto" w:sz="4" w:space="0"/>
              <w:right w:val="single" w:color="auto" w:sz="4" w:space="0"/>
            </w:tcBorders>
            <w:shd w:val="clear" w:color="auto" w:fill="auto"/>
            <w:noWrap/>
            <w:vAlign w:val="center"/>
          </w:tcPr>
          <w:p w14:paraId="4D37A819">
            <w:pPr>
              <w:widowControl/>
              <w:jc w:val="center"/>
              <w:rPr>
                <w:rFonts w:ascii="宋体" w:hAnsi="宋体" w:cs="宋体"/>
                <w:kern w:val="0"/>
                <w:sz w:val="20"/>
                <w:szCs w:val="20"/>
              </w:rPr>
            </w:pPr>
          </w:p>
        </w:tc>
      </w:tr>
    </w:tbl>
    <w:p w14:paraId="4202B945">
      <w:pPr>
        <w:keepNext/>
        <w:keepLines/>
        <w:spacing w:before="280" w:after="290" w:line="376" w:lineRule="auto"/>
        <w:outlineLvl w:val="3"/>
        <w:rPr>
          <w:rFonts w:ascii="Arial" w:hAnsi="Arial" w:eastAsia="黑体"/>
          <w:b/>
          <w:bCs/>
          <w:sz w:val="28"/>
          <w:szCs w:val="28"/>
        </w:rPr>
      </w:pPr>
      <w:r>
        <w:rPr>
          <w:rFonts w:hint="eastAsia" w:ascii="Arial" w:hAnsi="Arial" w:eastAsia="黑体"/>
          <w:b/>
          <w:bCs/>
          <w:sz w:val="28"/>
          <w:szCs w:val="28"/>
        </w:rPr>
        <w:t>（4）</w:t>
      </w:r>
      <w:r>
        <w:rPr>
          <w:rFonts w:hint="eastAsia" w:ascii="Arial" w:hAnsi="Arial" w:eastAsia="黑体"/>
          <w:b/>
          <w:bCs/>
          <w:kern w:val="0"/>
          <w:sz w:val="28"/>
          <w:szCs w:val="28"/>
        </w:rPr>
        <w:t>分部分项工程量清单与计价表</w:t>
      </w:r>
    </w:p>
    <w:tbl>
      <w:tblPr>
        <w:tblStyle w:val="50"/>
        <w:tblW w:w="8379" w:type="dxa"/>
        <w:tblInd w:w="93" w:type="dxa"/>
        <w:tblLayout w:type="fixed"/>
        <w:tblCellMar>
          <w:top w:w="0" w:type="dxa"/>
          <w:left w:w="108" w:type="dxa"/>
          <w:bottom w:w="0" w:type="dxa"/>
          <w:right w:w="108" w:type="dxa"/>
        </w:tblCellMar>
      </w:tblPr>
      <w:tblGrid>
        <w:gridCol w:w="441"/>
        <w:gridCol w:w="1134"/>
        <w:gridCol w:w="1134"/>
        <w:gridCol w:w="1417"/>
        <w:gridCol w:w="709"/>
        <w:gridCol w:w="850"/>
        <w:gridCol w:w="898"/>
        <w:gridCol w:w="662"/>
        <w:gridCol w:w="1134"/>
      </w:tblGrid>
      <w:tr w14:paraId="31AD9FE3">
        <w:tblPrEx>
          <w:tblCellMar>
            <w:top w:w="0" w:type="dxa"/>
            <w:left w:w="108" w:type="dxa"/>
            <w:bottom w:w="0" w:type="dxa"/>
            <w:right w:w="108" w:type="dxa"/>
          </w:tblCellMar>
        </w:tblPrEx>
        <w:trPr>
          <w:trHeight w:val="668" w:hRule="atLeast"/>
        </w:trPr>
        <w:tc>
          <w:tcPr>
            <w:tcW w:w="2709" w:type="dxa"/>
            <w:gridSpan w:val="3"/>
            <w:tcBorders>
              <w:top w:val="nil"/>
              <w:left w:val="nil"/>
              <w:bottom w:val="nil"/>
              <w:right w:val="nil"/>
            </w:tcBorders>
            <w:shd w:val="clear" w:color="auto" w:fill="auto"/>
            <w:vAlign w:val="bottom"/>
          </w:tcPr>
          <w:p w14:paraId="6E90FCB8">
            <w:pPr>
              <w:widowControl/>
              <w:jc w:val="left"/>
              <w:rPr>
                <w:rFonts w:ascii="宋体" w:hAnsi="宋体" w:cs="宋体"/>
                <w:kern w:val="0"/>
                <w:sz w:val="20"/>
                <w:szCs w:val="20"/>
              </w:rPr>
            </w:pPr>
            <w:r>
              <w:rPr>
                <w:rFonts w:hint="eastAsia" w:ascii="宋体" w:hAnsi="宋体" w:cs="宋体"/>
                <w:kern w:val="0"/>
                <w:sz w:val="20"/>
                <w:szCs w:val="20"/>
              </w:rPr>
              <w:t>工程名称</w:t>
            </w:r>
            <w:r>
              <w:rPr>
                <w:rFonts w:ascii="宋体" w:hAnsi="宋体" w:cs="宋体"/>
                <w:kern w:val="0"/>
                <w:sz w:val="20"/>
                <w:szCs w:val="20"/>
              </w:rPr>
              <w:t xml:space="preserve">: </w:t>
            </w:r>
          </w:p>
        </w:tc>
        <w:tc>
          <w:tcPr>
            <w:tcW w:w="2976" w:type="dxa"/>
            <w:gridSpan w:val="3"/>
            <w:tcBorders>
              <w:top w:val="nil"/>
              <w:left w:val="nil"/>
              <w:bottom w:val="nil"/>
              <w:right w:val="nil"/>
            </w:tcBorders>
            <w:shd w:val="clear" w:color="auto" w:fill="auto"/>
            <w:vAlign w:val="bottom"/>
          </w:tcPr>
          <w:p w14:paraId="60ED8BCC">
            <w:pPr>
              <w:widowControl/>
              <w:jc w:val="left"/>
              <w:rPr>
                <w:rFonts w:ascii="宋体" w:hAnsi="宋体" w:cs="宋体"/>
                <w:kern w:val="0"/>
                <w:sz w:val="20"/>
                <w:szCs w:val="20"/>
              </w:rPr>
            </w:pPr>
            <w:r>
              <w:rPr>
                <w:rFonts w:ascii="宋体" w:hAnsi="宋体" w:cs="宋体"/>
                <w:kern w:val="0"/>
                <w:sz w:val="20"/>
                <w:szCs w:val="20"/>
              </w:rPr>
              <w:t xml:space="preserve">      </w:t>
            </w:r>
          </w:p>
        </w:tc>
        <w:tc>
          <w:tcPr>
            <w:tcW w:w="2694" w:type="dxa"/>
            <w:gridSpan w:val="3"/>
            <w:tcBorders>
              <w:top w:val="nil"/>
              <w:left w:val="nil"/>
              <w:bottom w:val="nil"/>
              <w:right w:val="nil"/>
            </w:tcBorders>
            <w:shd w:val="clear" w:color="auto" w:fill="auto"/>
            <w:vAlign w:val="bottom"/>
          </w:tcPr>
          <w:p w14:paraId="282876BB">
            <w:pPr>
              <w:widowControl/>
              <w:jc w:val="right"/>
              <w:rPr>
                <w:rFonts w:ascii="宋体" w:hAnsi="宋体" w:cs="宋体"/>
                <w:kern w:val="0"/>
                <w:sz w:val="20"/>
                <w:szCs w:val="20"/>
              </w:rPr>
            </w:pPr>
            <w:r>
              <w:rPr>
                <w:rFonts w:hint="eastAsia" w:ascii="宋体" w:hAnsi="宋体" w:cs="宋体"/>
                <w:kern w:val="0"/>
                <w:sz w:val="20"/>
                <w:szCs w:val="20"/>
              </w:rPr>
              <w:t>第</w:t>
            </w:r>
            <w:r>
              <w:rPr>
                <w:rFonts w:ascii="宋体" w:hAnsi="宋体" w:cs="宋体"/>
                <w:kern w:val="0"/>
                <w:sz w:val="20"/>
                <w:szCs w:val="20"/>
              </w:rPr>
              <w:t xml:space="preserve">1页 </w:t>
            </w:r>
            <w:r>
              <w:rPr>
                <w:rFonts w:hint="eastAsia" w:ascii="宋体" w:hAnsi="宋体" w:cs="宋体"/>
                <w:kern w:val="0"/>
                <w:sz w:val="20"/>
                <w:szCs w:val="20"/>
              </w:rPr>
              <w:t>共</w:t>
            </w:r>
            <w:r>
              <w:rPr>
                <w:rFonts w:ascii="宋体" w:hAnsi="宋体" w:cs="宋体"/>
                <w:kern w:val="0"/>
                <w:sz w:val="20"/>
                <w:szCs w:val="20"/>
              </w:rPr>
              <w:t>1页</w:t>
            </w:r>
          </w:p>
        </w:tc>
      </w:tr>
      <w:tr w14:paraId="611CDBF6">
        <w:tblPrEx>
          <w:tblCellMar>
            <w:top w:w="0" w:type="dxa"/>
            <w:left w:w="108" w:type="dxa"/>
            <w:bottom w:w="0" w:type="dxa"/>
            <w:right w:w="108" w:type="dxa"/>
          </w:tblCellMar>
        </w:tblPrEx>
        <w:trPr>
          <w:trHeight w:val="372" w:hRule="atLeast"/>
        </w:trPr>
        <w:tc>
          <w:tcPr>
            <w:tcW w:w="441" w:type="dxa"/>
            <w:vMerge w:val="restart"/>
            <w:tcBorders>
              <w:top w:val="single" w:color="auto" w:sz="4" w:space="0"/>
              <w:left w:val="single" w:color="auto" w:sz="4" w:space="0"/>
              <w:bottom w:val="single" w:color="000000" w:sz="4" w:space="0"/>
              <w:right w:val="single" w:color="000000" w:sz="4" w:space="0"/>
            </w:tcBorders>
            <w:shd w:val="clear" w:color="000000" w:fill="FFFFFF"/>
            <w:noWrap/>
            <w:vAlign w:val="center"/>
          </w:tcPr>
          <w:p w14:paraId="228AACC6">
            <w:pPr>
              <w:widowControl/>
              <w:jc w:val="center"/>
              <w:rPr>
                <w:rFonts w:ascii="宋体" w:hAnsi="宋体" w:cs="宋体"/>
                <w:kern w:val="0"/>
                <w:sz w:val="20"/>
                <w:szCs w:val="20"/>
              </w:rPr>
            </w:pPr>
            <w:r>
              <w:rPr>
                <w:rFonts w:hint="eastAsia" w:ascii="宋体" w:hAnsi="宋体" w:cs="宋体"/>
                <w:kern w:val="0"/>
                <w:sz w:val="20"/>
                <w:szCs w:val="20"/>
              </w:rPr>
              <w:t>序号</w:t>
            </w:r>
          </w:p>
        </w:tc>
        <w:tc>
          <w:tcPr>
            <w:tcW w:w="1134"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14:paraId="2E66815E">
            <w:pPr>
              <w:widowControl/>
              <w:jc w:val="center"/>
              <w:rPr>
                <w:rFonts w:ascii="宋体" w:hAnsi="宋体" w:cs="宋体"/>
                <w:kern w:val="0"/>
                <w:sz w:val="20"/>
                <w:szCs w:val="20"/>
              </w:rPr>
            </w:pPr>
            <w:r>
              <w:rPr>
                <w:rFonts w:hint="eastAsia" w:ascii="宋体" w:hAnsi="宋体" w:cs="宋体"/>
                <w:kern w:val="0"/>
                <w:sz w:val="20"/>
                <w:szCs w:val="20"/>
              </w:rPr>
              <w:t>项目编码</w:t>
            </w:r>
          </w:p>
        </w:tc>
        <w:tc>
          <w:tcPr>
            <w:tcW w:w="1134"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14:paraId="75B4EAB1">
            <w:pPr>
              <w:widowControl/>
              <w:jc w:val="center"/>
              <w:rPr>
                <w:rFonts w:ascii="宋体" w:hAnsi="宋体" w:cs="宋体"/>
                <w:kern w:val="0"/>
                <w:sz w:val="20"/>
                <w:szCs w:val="20"/>
              </w:rPr>
            </w:pPr>
            <w:r>
              <w:rPr>
                <w:rFonts w:hint="eastAsia" w:ascii="宋体" w:hAnsi="宋体" w:cs="宋体"/>
                <w:kern w:val="0"/>
                <w:sz w:val="20"/>
                <w:szCs w:val="20"/>
              </w:rPr>
              <w:t>项目名称</w:t>
            </w:r>
          </w:p>
        </w:tc>
        <w:tc>
          <w:tcPr>
            <w:tcW w:w="1417"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14:paraId="04423562">
            <w:pPr>
              <w:widowControl/>
              <w:jc w:val="center"/>
              <w:rPr>
                <w:rFonts w:ascii="宋体" w:hAnsi="宋体" w:cs="宋体"/>
                <w:kern w:val="0"/>
                <w:sz w:val="18"/>
                <w:szCs w:val="18"/>
              </w:rPr>
            </w:pPr>
            <w:r>
              <w:rPr>
                <w:rFonts w:hint="eastAsia" w:ascii="宋体" w:hAnsi="宋体" w:cs="宋体"/>
                <w:kern w:val="0"/>
                <w:sz w:val="18"/>
                <w:szCs w:val="18"/>
              </w:rPr>
              <w:t>项目特征描述</w:t>
            </w:r>
          </w:p>
        </w:tc>
        <w:tc>
          <w:tcPr>
            <w:tcW w:w="709"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14:paraId="40683A87">
            <w:pPr>
              <w:widowControl/>
              <w:jc w:val="center"/>
              <w:rPr>
                <w:rFonts w:ascii="宋体" w:hAnsi="宋体" w:cs="宋体"/>
                <w:kern w:val="0"/>
                <w:sz w:val="20"/>
                <w:szCs w:val="20"/>
              </w:rPr>
            </w:pPr>
            <w:r>
              <w:rPr>
                <w:rFonts w:hint="eastAsia" w:ascii="宋体" w:hAnsi="宋体" w:cs="宋体"/>
                <w:kern w:val="0"/>
                <w:sz w:val="20"/>
                <w:szCs w:val="20"/>
              </w:rPr>
              <w:t>计量</w:t>
            </w:r>
            <w:r>
              <w:br w:type="textWrapping"/>
            </w:r>
            <w:r>
              <w:rPr>
                <w:rFonts w:hint="eastAsia" w:ascii="宋体" w:hAnsi="宋体" w:cs="宋体"/>
                <w:kern w:val="0"/>
                <w:sz w:val="20"/>
                <w:szCs w:val="20"/>
              </w:rPr>
              <w:t>单位</w:t>
            </w:r>
          </w:p>
        </w:tc>
        <w:tc>
          <w:tcPr>
            <w:tcW w:w="850" w:type="dxa"/>
            <w:vMerge w:val="restart"/>
            <w:tcBorders>
              <w:top w:val="single" w:color="auto" w:sz="4" w:space="0"/>
              <w:left w:val="single" w:color="000000" w:sz="4" w:space="0"/>
              <w:bottom w:val="single" w:color="000000" w:sz="4" w:space="0"/>
              <w:right w:val="single" w:color="000000" w:sz="4" w:space="0"/>
            </w:tcBorders>
            <w:shd w:val="clear" w:color="000000" w:fill="FFFFFF"/>
            <w:noWrap/>
            <w:vAlign w:val="center"/>
          </w:tcPr>
          <w:p w14:paraId="5F697474">
            <w:pPr>
              <w:widowControl/>
              <w:jc w:val="center"/>
              <w:rPr>
                <w:rFonts w:ascii="宋体" w:hAnsi="宋体" w:cs="宋体"/>
                <w:kern w:val="0"/>
                <w:sz w:val="20"/>
                <w:szCs w:val="20"/>
              </w:rPr>
            </w:pPr>
            <w:r>
              <w:rPr>
                <w:rFonts w:hint="eastAsia" w:ascii="宋体" w:hAnsi="宋体" w:cs="宋体"/>
                <w:kern w:val="0"/>
                <w:sz w:val="20"/>
                <w:szCs w:val="20"/>
              </w:rPr>
              <w:t>工程量</w:t>
            </w:r>
          </w:p>
        </w:tc>
        <w:tc>
          <w:tcPr>
            <w:tcW w:w="2694" w:type="dxa"/>
            <w:gridSpan w:val="3"/>
            <w:tcBorders>
              <w:top w:val="single" w:color="auto" w:sz="4" w:space="0"/>
              <w:left w:val="nil"/>
              <w:bottom w:val="single" w:color="000000" w:sz="4" w:space="0"/>
              <w:right w:val="single" w:color="000000" w:sz="4" w:space="0"/>
            </w:tcBorders>
            <w:shd w:val="clear" w:color="000000" w:fill="FFFFFF"/>
            <w:noWrap/>
            <w:vAlign w:val="center"/>
          </w:tcPr>
          <w:p w14:paraId="1E8ACD5A">
            <w:pPr>
              <w:widowControl/>
              <w:jc w:val="center"/>
              <w:rPr>
                <w:rFonts w:ascii="宋体" w:hAnsi="宋体" w:cs="宋体"/>
                <w:kern w:val="0"/>
                <w:sz w:val="20"/>
                <w:szCs w:val="20"/>
              </w:rPr>
            </w:pPr>
            <w:r>
              <w:rPr>
                <w:rFonts w:hint="eastAsia" w:ascii="宋体" w:hAnsi="宋体" w:cs="宋体"/>
                <w:kern w:val="0"/>
                <w:sz w:val="20"/>
                <w:szCs w:val="20"/>
              </w:rPr>
              <w:t>金额</w:t>
            </w:r>
            <w:r>
              <w:rPr>
                <w:rFonts w:ascii="宋体" w:hAnsi="宋体" w:cs="宋体"/>
                <w:kern w:val="0"/>
                <w:sz w:val="20"/>
                <w:szCs w:val="20"/>
              </w:rPr>
              <w:t>(元)</w:t>
            </w:r>
          </w:p>
        </w:tc>
      </w:tr>
      <w:tr w14:paraId="3F7A0125">
        <w:tblPrEx>
          <w:tblCellMar>
            <w:top w:w="0" w:type="dxa"/>
            <w:left w:w="108" w:type="dxa"/>
            <w:bottom w:w="0" w:type="dxa"/>
            <w:right w:w="108" w:type="dxa"/>
          </w:tblCellMar>
        </w:tblPrEx>
        <w:trPr>
          <w:trHeight w:val="668" w:hRule="atLeast"/>
        </w:trPr>
        <w:tc>
          <w:tcPr>
            <w:tcW w:w="441" w:type="dxa"/>
            <w:vMerge w:val="continue"/>
            <w:tcBorders>
              <w:top w:val="single" w:color="auto" w:sz="4" w:space="0"/>
              <w:left w:val="single" w:color="auto" w:sz="4" w:space="0"/>
              <w:bottom w:val="single" w:color="000000" w:sz="4" w:space="0"/>
              <w:right w:val="single" w:color="000000" w:sz="4" w:space="0"/>
            </w:tcBorders>
            <w:vAlign w:val="center"/>
          </w:tcPr>
          <w:p w14:paraId="47DBB57F">
            <w:pPr>
              <w:widowControl/>
              <w:jc w:val="left"/>
              <w:rPr>
                <w:rFonts w:ascii="宋体" w:hAnsi="宋体" w:cs="宋体"/>
                <w:kern w:val="0"/>
                <w:sz w:val="20"/>
                <w:szCs w:val="20"/>
              </w:rPr>
            </w:pPr>
          </w:p>
        </w:tc>
        <w:tc>
          <w:tcPr>
            <w:tcW w:w="1134" w:type="dxa"/>
            <w:vMerge w:val="continue"/>
            <w:tcBorders>
              <w:top w:val="single" w:color="auto" w:sz="4" w:space="0"/>
              <w:left w:val="single" w:color="000000" w:sz="4" w:space="0"/>
              <w:bottom w:val="single" w:color="000000" w:sz="4" w:space="0"/>
              <w:right w:val="single" w:color="000000" w:sz="4" w:space="0"/>
            </w:tcBorders>
            <w:vAlign w:val="center"/>
          </w:tcPr>
          <w:p w14:paraId="68F92A61">
            <w:pPr>
              <w:widowControl/>
              <w:jc w:val="left"/>
              <w:rPr>
                <w:rFonts w:ascii="宋体" w:hAnsi="宋体" w:cs="宋体"/>
                <w:kern w:val="0"/>
                <w:sz w:val="20"/>
                <w:szCs w:val="20"/>
              </w:rPr>
            </w:pPr>
          </w:p>
        </w:tc>
        <w:tc>
          <w:tcPr>
            <w:tcW w:w="1134" w:type="dxa"/>
            <w:vMerge w:val="continue"/>
            <w:tcBorders>
              <w:top w:val="single" w:color="auto" w:sz="4" w:space="0"/>
              <w:left w:val="single" w:color="000000" w:sz="4" w:space="0"/>
              <w:bottom w:val="single" w:color="000000" w:sz="4" w:space="0"/>
              <w:right w:val="single" w:color="000000" w:sz="4" w:space="0"/>
            </w:tcBorders>
            <w:vAlign w:val="center"/>
          </w:tcPr>
          <w:p w14:paraId="6326F08E">
            <w:pPr>
              <w:widowControl/>
              <w:jc w:val="left"/>
              <w:rPr>
                <w:rFonts w:ascii="宋体" w:hAnsi="宋体" w:cs="宋体"/>
                <w:kern w:val="0"/>
                <w:sz w:val="20"/>
                <w:szCs w:val="20"/>
              </w:rPr>
            </w:pPr>
          </w:p>
        </w:tc>
        <w:tc>
          <w:tcPr>
            <w:tcW w:w="1417" w:type="dxa"/>
            <w:vMerge w:val="continue"/>
            <w:tcBorders>
              <w:top w:val="single" w:color="auto" w:sz="4" w:space="0"/>
              <w:left w:val="single" w:color="000000" w:sz="4" w:space="0"/>
              <w:bottom w:val="single" w:color="000000" w:sz="4" w:space="0"/>
              <w:right w:val="single" w:color="000000" w:sz="4" w:space="0"/>
            </w:tcBorders>
            <w:vAlign w:val="center"/>
          </w:tcPr>
          <w:p w14:paraId="37BAF329">
            <w:pPr>
              <w:widowControl/>
              <w:jc w:val="left"/>
              <w:rPr>
                <w:rFonts w:ascii="宋体" w:hAnsi="宋体" w:cs="宋体"/>
                <w:kern w:val="0"/>
                <w:sz w:val="18"/>
                <w:szCs w:val="18"/>
              </w:rPr>
            </w:pPr>
          </w:p>
        </w:tc>
        <w:tc>
          <w:tcPr>
            <w:tcW w:w="709" w:type="dxa"/>
            <w:vMerge w:val="continue"/>
            <w:tcBorders>
              <w:top w:val="single" w:color="auto" w:sz="4" w:space="0"/>
              <w:left w:val="single" w:color="000000" w:sz="4" w:space="0"/>
              <w:bottom w:val="single" w:color="000000" w:sz="4" w:space="0"/>
              <w:right w:val="single" w:color="000000" w:sz="4" w:space="0"/>
            </w:tcBorders>
            <w:vAlign w:val="center"/>
          </w:tcPr>
          <w:p w14:paraId="06514D44">
            <w:pPr>
              <w:widowControl/>
              <w:jc w:val="left"/>
              <w:rPr>
                <w:rFonts w:ascii="宋体" w:hAnsi="宋体" w:cs="宋体"/>
                <w:kern w:val="0"/>
                <w:sz w:val="20"/>
                <w:szCs w:val="20"/>
              </w:rPr>
            </w:pPr>
          </w:p>
        </w:tc>
        <w:tc>
          <w:tcPr>
            <w:tcW w:w="850" w:type="dxa"/>
            <w:vMerge w:val="continue"/>
            <w:tcBorders>
              <w:top w:val="single" w:color="auto" w:sz="4" w:space="0"/>
              <w:left w:val="single" w:color="000000" w:sz="4" w:space="0"/>
              <w:bottom w:val="single" w:color="000000" w:sz="4" w:space="0"/>
              <w:right w:val="single" w:color="000000" w:sz="4" w:space="0"/>
            </w:tcBorders>
            <w:vAlign w:val="center"/>
          </w:tcPr>
          <w:p w14:paraId="096F1E0F">
            <w:pPr>
              <w:widowControl/>
              <w:jc w:val="left"/>
              <w:rPr>
                <w:rFonts w:ascii="宋体" w:hAnsi="宋体" w:cs="宋体"/>
                <w:kern w:val="0"/>
                <w:sz w:val="20"/>
                <w:szCs w:val="20"/>
              </w:rPr>
            </w:pPr>
          </w:p>
        </w:tc>
        <w:tc>
          <w:tcPr>
            <w:tcW w:w="898" w:type="dxa"/>
            <w:tcBorders>
              <w:top w:val="nil"/>
              <w:left w:val="nil"/>
              <w:bottom w:val="single" w:color="000000" w:sz="4" w:space="0"/>
              <w:right w:val="single" w:color="000000" w:sz="4" w:space="0"/>
            </w:tcBorders>
            <w:shd w:val="clear" w:color="000000" w:fill="FFFFFF"/>
            <w:noWrap/>
            <w:vAlign w:val="center"/>
          </w:tcPr>
          <w:p w14:paraId="28468E26">
            <w:pPr>
              <w:widowControl/>
              <w:jc w:val="center"/>
              <w:rPr>
                <w:rFonts w:ascii="宋体" w:hAnsi="宋体" w:cs="宋体"/>
                <w:kern w:val="0"/>
                <w:sz w:val="20"/>
                <w:szCs w:val="20"/>
              </w:rPr>
            </w:pPr>
            <w:r>
              <w:rPr>
                <w:rFonts w:hint="eastAsia" w:ascii="宋体" w:hAnsi="宋体" w:cs="宋体"/>
                <w:kern w:val="0"/>
                <w:sz w:val="20"/>
                <w:szCs w:val="20"/>
              </w:rPr>
              <w:t>综合</w:t>
            </w:r>
            <w:r>
              <w:br w:type="textWrapping"/>
            </w:r>
            <w:r>
              <w:rPr>
                <w:rFonts w:hint="eastAsia" w:ascii="宋体" w:hAnsi="宋体" w:cs="宋体"/>
                <w:kern w:val="0"/>
                <w:sz w:val="20"/>
                <w:szCs w:val="20"/>
              </w:rPr>
              <w:t>单价</w:t>
            </w:r>
          </w:p>
        </w:tc>
        <w:tc>
          <w:tcPr>
            <w:tcW w:w="662" w:type="dxa"/>
            <w:tcBorders>
              <w:top w:val="nil"/>
              <w:left w:val="nil"/>
              <w:bottom w:val="single" w:color="000000" w:sz="4" w:space="0"/>
              <w:right w:val="single" w:color="000000" w:sz="4" w:space="0"/>
            </w:tcBorders>
            <w:shd w:val="clear" w:color="000000" w:fill="FFFFFF"/>
            <w:noWrap/>
            <w:vAlign w:val="center"/>
          </w:tcPr>
          <w:p w14:paraId="2B1445D1">
            <w:pPr>
              <w:widowControl/>
              <w:jc w:val="center"/>
              <w:rPr>
                <w:rFonts w:ascii="宋体" w:hAnsi="宋体" w:cs="宋体"/>
                <w:kern w:val="0"/>
                <w:sz w:val="20"/>
                <w:szCs w:val="20"/>
              </w:rPr>
            </w:pPr>
            <w:r>
              <w:rPr>
                <w:rFonts w:hint="eastAsia" w:ascii="宋体" w:hAnsi="宋体" w:cs="宋体"/>
                <w:kern w:val="0"/>
                <w:sz w:val="20"/>
                <w:szCs w:val="20"/>
              </w:rPr>
              <w:t>合价</w:t>
            </w:r>
          </w:p>
        </w:tc>
        <w:tc>
          <w:tcPr>
            <w:tcW w:w="1134" w:type="dxa"/>
            <w:tcBorders>
              <w:top w:val="nil"/>
              <w:left w:val="nil"/>
              <w:bottom w:val="single" w:color="000000" w:sz="4" w:space="0"/>
              <w:right w:val="single" w:color="auto" w:sz="4" w:space="0"/>
            </w:tcBorders>
            <w:shd w:val="clear" w:color="000000" w:fill="FFFFFF"/>
            <w:vAlign w:val="center"/>
          </w:tcPr>
          <w:p w14:paraId="18668DFE">
            <w:pPr>
              <w:widowControl/>
              <w:jc w:val="center"/>
              <w:rPr>
                <w:rFonts w:ascii="宋体" w:hAnsi="宋体" w:cs="宋体"/>
                <w:kern w:val="0"/>
                <w:sz w:val="20"/>
                <w:szCs w:val="20"/>
              </w:rPr>
            </w:pPr>
            <w:r>
              <w:rPr>
                <w:rFonts w:hint="eastAsia" w:ascii="宋体" w:hAnsi="宋体" w:cs="宋体"/>
                <w:kern w:val="0"/>
                <w:sz w:val="20"/>
                <w:szCs w:val="20"/>
              </w:rPr>
              <w:t>材料设备</w:t>
            </w:r>
            <w:r>
              <w:br w:type="textWrapping"/>
            </w:r>
            <w:r>
              <w:rPr>
                <w:rFonts w:hint="eastAsia" w:ascii="宋体" w:hAnsi="宋体" w:cs="宋体"/>
                <w:kern w:val="0"/>
                <w:sz w:val="20"/>
                <w:szCs w:val="20"/>
              </w:rPr>
              <w:t>暂估合价</w:t>
            </w:r>
          </w:p>
        </w:tc>
      </w:tr>
      <w:tr w14:paraId="59D095D3">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000000" w:fill="FFFFFF"/>
            <w:noWrap/>
            <w:vAlign w:val="center"/>
          </w:tcPr>
          <w:p w14:paraId="60557CC9">
            <w:pPr>
              <w:widowControl/>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shd w:val="clear" w:color="000000" w:fill="FFFFFF"/>
            <w:noWrap/>
            <w:vAlign w:val="center"/>
          </w:tcPr>
          <w:p w14:paraId="41173A50">
            <w:pPr>
              <w:widowControl/>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shd w:val="clear" w:color="000000" w:fill="FFFFFF"/>
            <w:vAlign w:val="center"/>
          </w:tcPr>
          <w:p w14:paraId="6D7D685F">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shd w:val="clear" w:color="000000" w:fill="FFFFFF"/>
            <w:vAlign w:val="center"/>
          </w:tcPr>
          <w:p w14:paraId="5FC62689">
            <w:pPr>
              <w:widowControl/>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shd w:val="clear" w:color="000000" w:fill="FFFFFF"/>
            <w:vAlign w:val="center"/>
          </w:tcPr>
          <w:p w14:paraId="1AACDEDC">
            <w:pPr>
              <w:widowControl/>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shd w:val="clear" w:color="000000" w:fill="FFFFFF"/>
            <w:noWrap/>
            <w:vAlign w:val="center"/>
          </w:tcPr>
          <w:p w14:paraId="29730FA4">
            <w:pPr>
              <w:widowControl/>
              <w:jc w:val="center"/>
              <w:rPr>
                <w:rFonts w:ascii="宋体" w:hAnsi="宋体" w:cs="宋体"/>
                <w:kern w:val="0"/>
                <w:sz w:val="18"/>
                <w:szCs w:val="18"/>
              </w:rPr>
            </w:pPr>
          </w:p>
        </w:tc>
        <w:tc>
          <w:tcPr>
            <w:tcW w:w="898" w:type="dxa"/>
            <w:tcBorders>
              <w:top w:val="nil"/>
              <w:left w:val="nil"/>
              <w:bottom w:val="single" w:color="auto" w:sz="4" w:space="0"/>
              <w:right w:val="single" w:color="auto" w:sz="4" w:space="0"/>
            </w:tcBorders>
            <w:shd w:val="clear" w:color="000000" w:fill="FFFFFF"/>
            <w:noWrap/>
            <w:vAlign w:val="center"/>
          </w:tcPr>
          <w:p w14:paraId="00475CAE">
            <w:pPr>
              <w:widowControl/>
              <w:jc w:val="center"/>
              <w:rPr>
                <w:rFonts w:ascii="宋体" w:hAnsi="宋体" w:cs="宋体"/>
                <w:kern w:val="0"/>
                <w:sz w:val="18"/>
                <w:szCs w:val="18"/>
              </w:rPr>
            </w:pPr>
          </w:p>
        </w:tc>
        <w:tc>
          <w:tcPr>
            <w:tcW w:w="662" w:type="dxa"/>
            <w:tcBorders>
              <w:top w:val="nil"/>
              <w:left w:val="nil"/>
              <w:bottom w:val="single" w:color="auto" w:sz="4" w:space="0"/>
              <w:right w:val="single" w:color="auto" w:sz="4" w:space="0"/>
            </w:tcBorders>
            <w:shd w:val="clear" w:color="000000" w:fill="FFFFFF"/>
            <w:noWrap/>
            <w:vAlign w:val="center"/>
          </w:tcPr>
          <w:p w14:paraId="3B9CBF95">
            <w:pPr>
              <w:widowControl/>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shd w:val="clear" w:color="000000" w:fill="FFFFFF"/>
            <w:noWrap/>
            <w:vAlign w:val="center"/>
          </w:tcPr>
          <w:p w14:paraId="0727425A">
            <w:pPr>
              <w:widowControl/>
              <w:jc w:val="center"/>
              <w:rPr>
                <w:rFonts w:ascii="宋体" w:hAnsi="宋体" w:cs="宋体"/>
                <w:kern w:val="0"/>
                <w:sz w:val="18"/>
                <w:szCs w:val="18"/>
              </w:rPr>
            </w:pPr>
          </w:p>
        </w:tc>
      </w:tr>
      <w:tr w14:paraId="6AF2374D">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auto" w:fill="auto"/>
            <w:vAlign w:val="center"/>
          </w:tcPr>
          <w:p w14:paraId="49193E6D">
            <w:pPr>
              <w:widowControl/>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3397028C">
            <w:pPr>
              <w:widowControl/>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2CE66016">
            <w:pPr>
              <w:widowControl/>
              <w:jc w:val="center"/>
              <w:rPr>
                <w:rFonts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7EFB645">
            <w:pPr>
              <w:widowControl/>
              <w:jc w:val="center"/>
              <w:rPr>
                <w:rFonts w:ascii="宋体" w:hAnsi="宋体" w:cs="宋体"/>
                <w:kern w:val="0"/>
                <w:sz w:val="18"/>
                <w:szCs w:val="18"/>
              </w:rPr>
            </w:pPr>
          </w:p>
        </w:tc>
        <w:tc>
          <w:tcPr>
            <w:tcW w:w="709" w:type="dxa"/>
            <w:tcBorders>
              <w:top w:val="nil"/>
              <w:left w:val="nil"/>
              <w:bottom w:val="single" w:color="auto" w:sz="4" w:space="0"/>
              <w:right w:val="single" w:color="auto" w:sz="4" w:space="0"/>
            </w:tcBorders>
            <w:shd w:val="clear" w:color="auto" w:fill="auto"/>
            <w:vAlign w:val="center"/>
          </w:tcPr>
          <w:p w14:paraId="0F3BD094">
            <w:pPr>
              <w:widowControl/>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shd w:val="clear" w:color="auto" w:fill="auto"/>
            <w:noWrap/>
            <w:vAlign w:val="center"/>
          </w:tcPr>
          <w:p w14:paraId="0908F358">
            <w:pPr>
              <w:widowControl/>
              <w:jc w:val="center"/>
              <w:rPr>
                <w:rFonts w:ascii="宋体" w:hAnsi="宋体" w:cs="宋体"/>
                <w:kern w:val="0"/>
                <w:sz w:val="18"/>
                <w:szCs w:val="18"/>
              </w:rPr>
            </w:pPr>
          </w:p>
        </w:tc>
        <w:tc>
          <w:tcPr>
            <w:tcW w:w="898" w:type="dxa"/>
            <w:tcBorders>
              <w:top w:val="nil"/>
              <w:left w:val="nil"/>
              <w:bottom w:val="single" w:color="auto" w:sz="4" w:space="0"/>
              <w:right w:val="single" w:color="auto" w:sz="4" w:space="0"/>
            </w:tcBorders>
            <w:shd w:val="clear" w:color="auto" w:fill="auto"/>
            <w:noWrap/>
            <w:vAlign w:val="center"/>
          </w:tcPr>
          <w:p w14:paraId="27BA0BEE">
            <w:pPr>
              <w:widowControl/>
              <w:jc w:val="center"/>
              <w:rPr>
                <w:rFonts w:ascii="宋体" w:hAnsi="宋体" w:cs="宋体"/>
                <w:kern w:val="0"/>
                <w:sz w:val="18"/>
                <w:szCs w:val="18"/>
              </w:rPr>
            </w:pPr>
          </w:p>
        </w:tc>
        <w:tc>
          <w:tcPr>
            <w:tcW w:w="662" w:type="dxa"/>
            <w:tcBorders>
              <w:top w:val="nil"/>
              <w:left w:val="nil"/>
              <w:bottom w:val="single" w:color="auto" w:sz="4" w:space="0"/>
              <w:right w:val="single" w:color="auto" w:sz="4" w:space="0"/>
            </w:tcBorders>
            <w:shd w:val="clear" w:color="auto" w:fill="auto"/>
            <w:noWrap/>
            <w:vAlign w:val="center"/>
          </w:tcPr>
          <w:p w14:paraId="41BB094A">
            <w:pPr>
              <w:widowControl/>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shd w:val="clear" w:color="auto" w:fill="auto"/>
            <w:noWrap/>
            <w:vAlign w:val="center"/>
          </w:tcPr>
          <w:p w14:paraId="70F24594">
            <w:pPr>
              <w:widowControl/>
              <w:jc w:val="center"/>
              <w:rPr>
                <w:rFonts w:ascii="宋体" w:hAnsi="宋体" w:cs="宋体"/>
                <w:kern w:val="0"/>
                <w:sz w:val="18"/>
                <w:szCs w:val="18"/>
              </w:rPr>
            </w:pPr>
          </w:p>
        </w:tc>
      </w:tr>
      <w:tr w14:paraId="646293D3">
        <w:tblPrEx>
          <w:tblCellMar>
            <w:top w:w="0" w:type="dxa"/>
            <w:left w:w="108" w:type="dxa"/>
            <w:bottom w:w="0" w:type="dxa"/>
            <w:right w:w="108" w:type="dxa"/>
          </w:tblCellMar>
        </w:tblPrEx>
        <w:trPr>
          <w:trHeight w:val="462" w:hRule="atLeast"/>
        </w:trPr>
        <w:tc>
          <w:tcPr>
            <w:tcW w:w="44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A2340F">
            <w:pPr>
              <w:widowControl/>
              <w:jc w:val="center"/>
              <w:rPr>
                <w:rFonts w:ascii="宋体" w:hAnsi="宋体" w:cs="宋体"/>
                <w:kern w:val="0"/>
                <w:sz w:val="20"/>
                <w:szCs w:val="20"/>
              </w:rPr>
            </w:pP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58C09926">
            <w:pPr>
              <w:widowControl/>
              <w:jc w:val="center"/>
              <w:rPr>
                <w:rFonts w:ascii="宋体" w:hAnsi="宋体" w:cs="宋体"/>
                <w:kern w:val="0"/>
                <w:sz w:val="20"/>
                <w:szCs w:val="20"/>
              </w:rPr>
            </w:pP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4BBED1F5">
            <w:pPr>
              <w:widowControl/>
              <w:jc w:val="center"/>
              <w:rPr>
                <w:rFonts w:ascii="宋体" w:hAnsi="宋体" w:cs="宋体"/>
                <w:kern w:val="0"/>
                <w:sz w:val="20"/>
                <w:szCs w:val="20"/>
              </w:rPr>
            </w:pPr>
          </w:p>
        </w:tc>
        <w:tc>
          <w:tcPr>
            <w:tcW w:w="1417" w:type="dxa"/>
            <w:tcBorders>
              <w:top w:val="single" w:color="auto" w:sz="4" w:space="0"/>
              <w:left w:val="nil"/>
              <w:bottom w:val="single" w:color="auto" w:sz="4" w:space="0"/>
              <w:right w:val="single" w:color="auto" w:sz="4" w:space="0"/>
            </w:tcBorders>
            <w:shd w:val="clear" w:color="auto" w:fill="auto"/>
            <w:noWrap/>
            <w:vAlign w:val="center"/>
          </w:tcPr>
          <w:p w14:paraId="40AA7EB1">
            <w:pPr>
              <w:widowControl/>
              <w:jc w:val="center"/>
              <w:rPr>
                <w:rFonts w:ascii="宋体" w:hAnsi="宋体" w:cs="宋体"/>
                <w:kern w:val="0"/>
                <w:sz w:val="20"/>
                <w:szCs w:val="20"/>
              </w:rPr>
            </w:pPr>
          </w:p>
        </w:tc>
        <w:tc>
          <w:tcPr>
            <w:tcW w:w="709" w:type="dxa"/>
            <w:tcBorders>
              <w:top w:val="single" w:color="auto" w:sz="4" w:space="0"/>
              <w:left w:val="nil"/>
              <w:bottom w:val="single" w:color="auto" w:sz="4" w:space="0"/>
              <w:right w:val="single" w:color="auto" w:sz="4" w:space="0"/>
            </w:tcBorders>
            <w:shd w:val="clear" w:color="auto" w:fill="auto"/>
            <w:noWrap/>
            <w:vAlign w:val="center"/>
          </w:tcPr>
          <w:p w14:paraId="1335C2AE">
            <w:pPr>
              <w:widowControl/>
              <w:jc w:val="center"/>
              <w:rPr>
                <w:rFonts w:ascii="宋体" w:hAnsi="宋体" w:cs="宋体"/>
                <w:kern w:val="0"/>
                <w:sz w:val="20"/>
                <w:szCs w:val="20"/>
              </w:rPr>
            </w:pPr>
          </w:p>
        </w:tc>
        <w:tc>
          <w:tcPr>
            <w:tcW w:w="850" w:type="dxa"/>
            <w:tcBorders>
              <w:top w:val="single" w:color="auto" w:sz="4" w:space="0"/>
              <w:left w:val="nil"/>
              <w:bottom w:val="single" w:color="auto" w:sz="4" w:space="0"/>
              <w:right w:val="single" w:color="auto" w:sz="4" w:space="0"/>
            </w:tcBorders>
            <w:shd w:val="clear" w:color="auto" w:fill="auto"/>
            <w:noWrap/>
            <w:vAlign w:val="center"/>
          </w:tcPr>
          <w:p w14:paraId="4C7AD1D7">
            <w:pPr>
              <w:widowControl/>
              <w:jc w:val="center"/>
              <w:rPr>
                <w:rFonts w:ascii="宋体" w:hAnsi="宋体" w:cs="宋体"/>
                <w:kern w:val="0"/>
                <w:sz w:val="20"/>
                <w:szCs w:val="20"/>
              </w:rPr>
            </w:pPr>
          </w:p>
        </w:tc>
        <w:tc>
          <w:tcPr>
            <w:tcW w:w="898" w:type="dxa"/>
            <w:tcBorders>
              <w:top w:val="single" w:color="auto" w:sz="4" w:space="0"/>
              <w:left w:val="nil"/>
              <w:bottom w:val="single" w:color="auto" w:sz="4" w:space="0"/>
              <w:right w:val="single" w:color="auto" w:sz="4" w:space="0"/>
            </w:tcBorders>
            <w:shd w:val="clear" w:color="auto" w:fill="auto"/>
            <w:noWrap/>
            <w:vAlign w:val="center"/>
          </w:tcPr>
          <w:p w14:paraId="5B45DC48">
            <w:pPr>
              <w:widowControl/>
              <w:jc w:val="center"/>
              <w:rPr>
                <w:rFonts w:ascii="宋体" w:hAnsi="宋体" w:cs="宋体"/>
                <w:kern w:val="0"/>
                <w:sz w:val="20"/>
                <w:szCs w:val="20"/>
              </w:rPr>
            </w:pPr>
          </w:p>
        </w:tc>
        <w:tc>
          <w:tcPr>
            <w:tcW w:w="662" w:type="dxa"/>
            <w:tcBorders>
              <w:top w:val="single" w:color="auto" w:sz="4" w:space="0"/>
              <w:left w:val="nil"/>
              <w:bottom w:val="single" w:color="auto" w:sz="4" w:space="0"/>
              <w:right w:val="single" w:color="auto" w:sz="4" w:space="0"/>
            </w:tcBorders>
            <w:shd w:val="clear" w:color="auto" w:fill="auto"/>
            <w:noWrap/>
            <w:vAlign w:val="center"/>
          </w:tcPr>
          <w:p w14:paraId="1D20722D">
            <w:pPr>
              <w:widowControl/>
              <w:jc w:val="center"/>
              <w:rPr>
                <w:rFonts w:ascii="宋体" w:hAnsi="宋体" w:cs="宋体"/>
                <w:kern w:val="0"/>
                <w:sz w:val="20"/>
                <w:szCs w:val="20"/>
              </w:rPr>
            </w:pP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6A54ABAE">
            <w:pPr>
              <w:widowControl/>
              <w:jc w:val="center"/>
              <w:rPr>
                <w:rFonts w:ascii="宋体" w:hAnsi="宋体" w:cs="宋体"/>
                <w:kern w:val="0"/>
                <w:sz w:val="20"/>
                <w:szCs w:val="20"/>
              </w:rPr>
            </w:pPr>
          </w:p>
        </w:tc>
      </w:tr>
      <w:tr w14:paraId="28DA5207">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auto" w:fill="auto"/>
            <w:noWrap/>
            <w:vAlign w:val="center"/>
          </w:tcPr>
          <w:p w14:paraId="4412B1DF">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7B6FCA48">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11D85A12">
            <w:pPr>
              <w:widowControl/>
              <w:jc w:val="center"/>
              <w:rPr>
                <w:rFonts w:ascii="宋体" w:hAnsi="宋体" w:cs="宋体"/>
                <w:kern w:val="0"/>
                <w:sz w:val="20"/>
                <w:szCs w:val="20"/>
              </w:rPr>
            </w:pPr>
          </w:p>
        </w:tc>
        <w:tc>
          <w:tcPr>
            <w:tcW w:w="1417" w:type="dxa"/>
            <w:tcBorders>
              <w:top w:val="nil"/>
              <w:left w:val="nil"/>
              <w:bottom w:val="single" w:color="auto" w:sz="4" w:space="0"/>
              <w:right w:val="single" w:color="auto" w:sz="4" w:space="0"/>
            </w:tcBorders>
            <w:shd w:val="clear" w:color="auto" w:fill="auto"/>
            <w:noWrap/>
            <w:vAlign w:val="center"/>
          </w:tcPr>
          <w:p w14:paraId="049F709C">
            <w:pPr>
              <w:widowControl/>
              <w:jc w:val="center"/>
              <w:rPr>
                <w:rFonts w:ascii="宋体" w:hAnsi="宋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14:paraId="11B36B1A">
            <w:pPr>
              <w:widowControl/>
              <w:jc w:val="center"/>
              <w:rPr>
                <w:rFonts w:ascii="宋体" w:hAnsi="宋体" w:cs="宋体"/>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14:paraId="7E900DBA">
            <w:pPr>
              <w:widowControl/>
              <w:jc w:val="center"/>
              <w:rPr>
                <w:rFonts w:ascii="宋体" w:hAnsi="宋体" w:cs="宋体"/>
                <w:kern w:val="0"/>
                <w:sz w:val="20"/>
                <w:szCs w:val="20"/>
              </w:rPr>
            </w:pPr>
          </w:p>
        </w:tc>
        <w:tc>
          <w:tcPr>
            <w:tcW w:w="898" w:type="dxa"/>
            <w:tcBorders>
              <w:top w:val="nil"/>
              <w:left w:val="nil"/>
              <w:bottom w:val="single" w:color="auto" w:sz="4" w:space="0"/>
              <w:right w:val="single" w:color="auto" w:sz="4" w:space="0"/>
            </w:tcBorders>
            <w:shd w:val="clear" w:color="auto" w:fill="auto"/>
            <w:noWrap/>
            <w:vAlign w:val="center"/>
          </w:tcPr>
          <w:p w14:paraId="6539BCCE">
            <w:pPr>
              <w:widowControl/>
              <w:jc w:val="center"/>
              <w:rPr>
                <w:rFonts w:ascii="宋体" w:hAnsi="宋体" w:cs="宋体"/>
                <w:kern w:val="0"/>
                <w:sz w:val="20"/>
                <w:szCs w:val="20"/>
              </w:rPr>
            </w:pPr>
          </w:p>
        </w:tc>
        <w:tc>
          <w:tcPr>
            <w:tcW w:w="662" w:type="dxa"/>
            <w:tcBorders>
              <w:top w:val="nil"/>
              <w:left w:val="nil"/>
              <w:bottom w:val="single" w:color="auto" w:sz="4" w:space="0"/>
              <w:right w:val="single" w:color="auto" w:sz="4" w:space="0"/>
            </w:tcBorders>
            <w:shd w:val="clear" w:color="auto" w:fill="auto"/>
            <w:noWrap/>
            <w:vAlign w:val="center"/>
          </w:tcPr>
          <w:p w14:paraId="6FE9FECC">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31789C9E">
            <w:pPr>
              <w:widowControl/>
              <w:jc w:val="center"/>
              <w:rPr>
                <w:rFonts w:ascii="宋体" w:hAnsi="宋体" w:cs="宋体"/>
                <w:kern w:val="0"/>
                <w:sz w:val="20"/>
                <w:szCs w:val="20"/>
              </w:rPr>
            </w:pPr>
          </w:p>
        </w:tc>
      </w:tr>
      <w:tr w14:paraId="359FB02C">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auto" w:fill="auto"/>
            <w:noWrap/>
            <w:vAlign w:val="center"/>
          </w:tcPr>
          <w:p w14:paraId="5D615415">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1BD04AD2">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014D3178">
            <w:pPr>
              <w:widowControl/>
              <w:jc w:val="center"/>
              <w:rPr>
                <w:rFonts w:ascii="宋体" w:hAnsi="宋体" w:cs="宋体"/>
                <w:kern w:val="0"/>
                <w:sz w:val="20"/>
                <w:szCs w:val="20"/>
              </w:rPr>
            </w:pPr>
          </w:p>
        </w:tc>
        <w:tc>
          <w:tcPr>
            <w:tcW w:w="1417" w:type="dxa"/>
            <w:tcBorders>
              <w:top w:val="nil"/>
              <w:left w:val="nil"/>
              <w:bottom w:val="single" w:color="auto" w:sz="4" w:space="0"/>
              <w:right w:val="single" w:color="auto" w:sz="4" w:space="0"/>
            </w:tcBorders>
            <w:shd w:val="clear" w:color="auto" w:fill="auto"/>
            <w:noWrap/>
            <w:vAlign w:val="center"/>
          </w:tcPr>
          <w:p w14:paraId="21C15F7A">
            <w:pPr>
              <w:widowControl/>
              <w:jc w:val="center"/>
              <w:rPr>
                <w:rFonts w:ascii="宋体" w:hAnsi="宋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14:paraId="390DD96E">
            <w:pPr>
              <w:widowControl/>
              <w:jc w:val="center"/>
              <w:rPr>
                <w:rFonts w:ascii="宋体" w:hAnsi="宋体" w:cs="宋体"/>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14:paraId="314C113B">
            <w:pPr>
              <w:widowControl/>
              <w:jc w:val="center"/>
              <w:rPr>
                <w:rFonts w:ascii="宋体" w:hAnsi="宋体" w:cs="宋体"/>
                <w:kern w:val="0"/>
                <w:sz w:val="20"/>
                <w:szCs w:val="20"/>
              </w:rPr>
            </w:pPr>
          </w:p>
        </w:tc>
        <w:tc>
          <w:tcPr>
            <w:tcW w:w="898" w:type="dxa"/>
            <w:tcBorders>
              <w:top w:val="nil"/>
              <w:left w:val="nil"/>
              <w:bottom w:val="single" w:color="auto" w:sz="4" w:space="0"/>
              <w:right w:val="single" w:color="auto" w:sz="4" w:space="0"/>
            </w:tcBorders>
            <w:shd w:val="clear" w:color="auto" w:fill="auto"/>
            <w:noWrap/>
            <w:vAlign w:val="center"/>
          </w:tcPr>
          <w:p w14:paraId="31E7593C">
            <w:pPr>
              <w:widowControl/>
              <w:jc w:val="center"/>
              <w:rPr>
                <w:rFonts w:ascii="宋体" w:hAnsi="宋体" w:cs="宋体"/>
                <w:kern w:val="0"/>
                <w:sz w:val="20"/>
                <w:szCs w:val="20"/>
              </w:rPr>
            </w:pPr>
          </w:p>
        </w:tc>
        <w:tc>
          <w:tcPr>
            <w:tcW w:w="662" w:type="dxa"/>
            <w:tcBorders>
              <w:top w:val="nil"/>
              <w:left w:val="nil"/>
              <w:bottom w:val="single" w:color="auto" w:sz="4" w:space="0"/>
              <w:right w:val="single" w:color="auto" w:sz="4" w:space="0"/>
            </w:tcBorders>
            <w:shd w:val="clear" w:color="auto" w:fill="auto"/>
            <w:noWrap/>
            <w:vAlign w:val="center"/>
          </w:tcPr>
          <w:p w14:paraId="62984038">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668168A0">
            <w:pPr>
              <w:widowControl/>
              <w:jc w:val="center"/>
              <w:rPr>
                <w:rFonts w:ascii="宋体" w:hAnsi="宋体" w:cs="宋体"/>
                <w:kern w:val="0"/>
                <w:sz w:val="20"/>
                <w:szCs w:val="20"/>
              </w:rPr>
            </w:pPr>
          </w:p>
        </w:tc>
      </w:tr>
      <w:tr w14:paraId="5D83EB51">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auto" w:fill="auto"/>
            <w:noWrap/>
            <w:vAlign w:val="center"/>
          </w:tcPr>
          <w:p w14:paraId="1D4344B3">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78015851">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287D8674">
            <w:pPr>
              <w:widowControl/>
              <w:jc w:val="center"/>
              <w:rPr>
                <w:rFonts w:ascii="宋体" w:hAnsi="宋体" w:cs="宋体"/>
                <w:kern w:val="0"/>
                <w:sz w:val="20"/>
                <w:szCs w:val="20"/>
              </w:rPr>
            </w:pPr>
          </w:p>
        </w:tc>
        <w:tc>
          <w:tcPr>
            <w:tcW w:w="1417" w:type="dxa"/>
            <w:tcBorders>
              <w:top w:val="nil"/>
              <w:left w:val="nil"/>
              <w:bottom w:val="single" w:color="auto" w:sz="4" w:space="0"/>
              <w:right w:val="single" w:color="auto" w:sz="4" w:space="0"/>
            </w:tcBorders>
            <w:shd w:val="clear" w:color="auto" w:fill="auto"/>
            <w:noWrap/>
            <w:vAlign w:val="center"/>
          </w:tcPr>
          <w:p w14:paraId="25ACCAAF">
            <w:pPr>
              <w:widowControl/>
              <w:jc w:val="center"/>
              <w:rPr>
                <w:rFonts w:ascii="宋体" w:hAnsi="宋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14:paraId="6F07BF65">
            <w:pPr>
              <w:widowControl/>
              <w:jc w:val="center"/>
              <w:rPr>
                <w:rFonts w:ascii="宋体" w:hAnsi="宋体" w:cs="宋体"/>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14:paraId="75BA6F7E">
            <w:pPr>
              <w:widowControl/>
              <w:jc w:val="center"/>
              <w:rPr>
                <w:rFonts w:ascii="宋体" w:hAnsi="宋体" w:cs="宋体"/>
                <w:kern w:val="0"/>
                <w:sz w:val="20"/>
                <w:szCs w:val="20"/>
              </w:rPr>
            </w:pPr>
          </w:p>
        </w:tc>
        <w:tc>
          <w:tcPr>
            <w:tcW w:w="898" w:type="dxa"/>
            <w:tcBorders>
              <w:top w:val="nil"/>
              <w:left w:val="nil"/>
              <w:bottom w:val="single" w:color="auto" w:sz="4" w:space="0"/>
              <w:right w:val="single" w:color="auto" w:sz="4" w:space="0"/>
            </w:tcBorders>
            <w:shd w:val="clear" w:color="auto" w:fill="auto"/>
            <w:noWrap/>
            <w:vAlign w:val="center"/>
          </w:tcPr>
          <w:p w14:paraId="2CAE4F9E">
            <w:pPr>
              <w:widowControl/>
              <w:jc w:val="center"/>
              <w:rPr>
                <w:rFonts w:ascii="宋体" w:hAnsi="宋体" w:cs="宋体"/>
                <w:kern w:val="0"/>
                <w:sz w:val="20"/>
                <w:szCs w:val="20"/>
              </w:rPr>
            </w:pPr>
          </w:p>
        </w:tc>
        <w:tc>
          <w:tcPr>
            <w:tcW w:w="662" w:type="dxa"/>
            <w:tcBorders>
              <w:top w:val="nil"/>
              <w:left w:val="nil"/>
              <w:bottom w:val="single" w:color="auto" w:sz="4" w:space="0"/>
              <w:right w:val="single" w:color="auto" w:sz="4" w:space="0"/>
            </w:tcBorders>
            <w:shd w:val="clear" w:color="auto" w:fill="auto"/>
            <w:noWrap/>
            <w:vAlign w:val="center"/>
          </w:tcPr>
          <w:p w14:paraId="61D268C6">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132B98D0">
            <w:pPr>
              <w:widowControl/>
              <w:jc w:val="center"/>
              <w:rPr>
                <w:rFonts w:ascii="宋体" w:hAnsi="宋体" w:cs="宋体"/>
                <w:kern w:val="0"/>
                <w:sz w:val="20"/>
                <w:szCs w:val="20"/>
              </w:rPr>
            </w:pPr>
          </w:p>
        </w:tc>
      </w:tr>
      <w:tr w14:paraId="6C4E7092">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auto" w:fill="auto"/>
            <w:noWrap/>
            <w:vAlign w:val="center"/>
          </w:tcPr>
          <w:p w14:paraId="21872089">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5EF83563">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13F2F42B">
            <w:pPr>
              <w:widowControl/>
              <w:jc w:val="center"/>
              <w:rPr>
                <w:rFonts w:ascii="宋体" w:hAnsi="宋体" w:cs="宋体"/>
                <w:kern w:val="0"/>
                <w:sz w:val="20"/>
                <w:szCs w:val="20"/>
              </w:rPr>
            </w:pPr>
          </w:p>
        </w:tc>
        <w:tc>
          <w:tcPr>
            <w:tcW w:w="1417" w:type="dxa"/>
            <w:tcBorders>
              <w:top w:val="nil"/>
              <w:left w:val="nil"/>
              <w:bottom w:val="single" w:color="auto" w:sz="4" w:space="0"/>
              <w:right w:val="single" w:color="auto" w:sz="4" w:space="0"/>
            </w:tcBorders>
            <w:shd w:val="clear" w:color="auto" w:fill="auto"/>
            <w:noWrap/>
            <w:vAlign w:val="center"/>
          </w:tcPr>
          <w:p w14:paraId="21D0B24D">
            <w:pPr>
              <w:widowControl/>
              <w:jc w:val="center"/>
              <w:rPr>
                <w:rFonts w:ascii="宋体" w:hAnsi="宋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14:paraId="24E8C605">
            <w:pPr>
              <w:widowControl/>
              <w:jc w:val="center"/>
              <w:rPr>
                <w:rFonts w:ascii="宋体" w:hAnsi="宋体" w:cs="宋体"/>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14:paraId="450E9919">
            <w:pPr>
              <w:widowControl/>
              <w:jc w:val="center"/>
              <w:rPr>
                <w:rFonts w:ascii="宋体" w:hAnsi="宋体" w:cs="宋体"/>
                <w:kern w:val="0"/>
                <w:sz w:val="20"/>
                <w:szCs w:val="20"/>
              </w:rPr>
            </w:pPr>
          </w:p>
        </w:tc>
        <w:tc>
          <w:tcPr>
            <w:tcW w:w="898" w:type="dxa"/>
            <w:tcBorders>
              <w:top w:val="nil"/>
              <w:left w:val="nil"/>
              <w:bottom w:val="single" w:color="auto" w:sz="4" w:space="0"/>
              <w:right w:val="single" w:color="auto" w:sz="4" w:space="0"/>
            </w:tcBorders>
            <w:shd w:val="clear" w:color="auto" w:fill="auto"/>
            <w:noWrap/>
            <w:vAlign w:val="center"/>
          </w:tcPr>
          <w:p w14:paraId="7F649063">
            <w:pPr>
              <w:widowControl/>
              <w:jc w:val="center"/>
              <w:rPr>
                <w:rFonts w:ascii="宋体" w:hAnsi="宋体" w:cs="宋体"/>
                <w:kern w:val="0"/>
                <w:sz w:val="20"/>
                <w:szCs w:val="20"/>
              </w:rPr>
            </w:pPr>
          </w:p>
        </w:tc>
        <w:tc>
          <w:tcPr>
            <w:tcW w:w="662" w:type="dxa"/>
            <w:tcBorders>
              <w:top w:val="nil"/>
              <w:left w:val="nil"/>
              <w:bottom w:val="single" w:color="auto" w:sz="4" w:space="0"/>
              <w:right w:val="single" w:color="auto" w:sz="4" w:space="0"/>
            </w:tcBorders>
            <w:shd w:val="clear" w:color="auto" w:fill="auto"/>
            <w:noWrap/>
            <w:vAlign w:val="center"/>
          </w:tcPr>
          <w:p w14:paraId="1BF23472">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2C9231F0">
            <w:pPr>
              <w:widowControl/>
              <w:jc w:val="center"/>
              <w:rPr>
                <w:rFonts w:ascii="宋体" w:hAnsi="宋体" w:cs="宋体"/>
                <w:kern w:val="0"/>
                <w:sz w:val="20"/>
                <w:szCs w:val="20"/>
              </w:rPr>
            </w:pPr>
          </w:p>
        </w:tc>
      </w:tr>
      <w:tr w14:paraId="4FF586C8">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auto" w:fill="auto"/>
            <w:noWrap/>
            <w:vAlign w:val="center"/>
          </w:tcPr>
          <w:p w14:paraId="227D016F">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3137E5AF">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07B9BB52">
            <w:pPr>
              <w:widowControl/>
              <w:jc w:val="center"/>
              <w:rPr>
                <w:rFonts w:ascii="宋体" w:hAnsi="宋体" w:cs="宋体"/>
                <w:kern w:val="0"/>
                <w:sz w:val="20"/>
                <w:szCs w:val="20"/>
              </w:rPr>
            </w:pPr>
          </w:p>
        </w:tc>
        <w:tc>
          <w:tcPr>
            <w:tcW w:w="1417" w:type="dxa"/>
            <w:tcBorders>
              <w:top w:val="nil"/>
              <w:left w:val="nil"/>
              <w:bottom w:val="single" w:color="auto" w:sz="4" w:space="0"/>
              <w:right w:val="single" w:color="auto" w:sz="4" w:space="0"/>
            </w:tcBorders>
            <w:shd w:val="clear" w:color="auto" w:fill="auto"/>
            <w:noWrap/>
            <w:vAlign w:val="center"/>
          </w:tcPr>
          <w:p w14:paraId="71252382">
            <w:pPr>
              <w:widowControl/>
              <w:jc w:val="center"/>
              <w:rPr>
                <w:rFonts w:ascii="宋体" w:hAnsi="宋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14:paraId="67385988">
            <w:pPr>
              <w:widowControl/>
              <w:jc w:val="center"/>
              <w:rPr>
                <w:rFonts w:ascii="宋体" w:hAnsi="宋体" w:cs="宋体"/>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14:paraId="6C38D4A6">
            <w:pPr>
              <w:widowControl/>
              <w:jc w:val="center"/>
              <w:rPr>
                <w:rFonts w:ascii="宋体" w:hAnsi="宋体" w:cs="宋体"/>
                <w:kern w:val="0"/>
                <w:sz w:val="20"/>
                <w:szCs w:val="20"/>
              </w:rPr>
            </w:pPr>
          </w:p>
        </w:tc>
        <w:tc>
          <w:tcPr>
            <w:tcW w:w="898" w:type="dxa"/>
            <w:tcBorders>
              <w:top w:val="nil"/>
              <w:left w:val="nil"/>
              <w:bottom w:val="single" w:color="auto" w:sz="4" w:space="0"/>
              <w:right w:val="single" w:color="auto" w:sz="4" w:space="0"/>
            </w:tcBorders>
            <w:shd w:val="clear" w:color="auto" w:fill="auto"/>
            <w:noWrap/>
            <w:vAlign w:val="center"/>
          </w:tcPr>
          <w:p w14:paraId="0BD5FD91">
            <w:pPr>
              <w:widowControl/>
              <w:jc w:val="center"/>
              <w:rPr>
                <w:rFonts w:ascii="宋体" w:hAnsi="宋体" w:cs="宋体"/>
                <w:kern w:val="0"/>
                <w:sz w:val="20"/>
                <w:szCs w:val="20"/>
              </w:rPr>
            </w:pPr>
          </w:p>
        </w:tc>
        <w:tc>
          <w:tcPr>
            <w:tcW w:w="662" w:type="dxa"/>
            <w:tcBorders>
              <w:top w:val="nil"/>
              <w:left w:val="nil"/>
              <w:bottom w:val="single" w:color="auto" w:sz="4" w:space="0"/>
              <w:right w:val="single" w:color="auto" w:sz="4" w:space="0"/>
            </w:tcBorders>
            <w:shd w:val="clear" w:color="auto" w:fill="auto"/>
            <w:noWrap/>
            <w:vAlign w:val="center"/>
          </w:tcPr>
          <w:p w14:paraId="14621D3D">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4A0F34A3">
            <w:pPr>
              <w:widowControl/>
              <w:jc w:val="center"/>
              <w:rPr>
                <w:rFonts w:ascii="宋体" w:hAnsi="宋体" w:cs="宋体"/>
                <w:kern w:val="0"/>
                <w:sz w:val="20"/>
                <w:szCs w:val="20"/>
              </w:rPr>
            </w:pPr>
          </w:p>
        </w:tc>
      </w:tr>
      <w:tr w14:paraId="1A757490">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auto" w:fill="auto"/>
            <w:noWrap/>
            <w:vAlign w:val="center"/>
          </w:tcPr>
          <w:p w14:paraId="00677E14">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5C492A30">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28538538">
            <w:pPr>
              <w:widowControl/>
              <w:jc w:val="center"/>
              <w:rPr>
                <w:rFonts w:ascii="宋体" w:hAnsi="宋体" w:cs="宋体"/>
                <w:kern w:val="0"/>
                <w:sz w:val="20"/>
                <w:szCs w:val="20"/>
              </w:rPr>
            </w:pPr>
          </w:p>
        </w:tc>
        <w:tc>
          <w:tcPr>
            <w:tcW w:w="1417" w:type="dxa"/>
            <w:tcBorders>
              <w:top w:val="nil"/>
              <w:left w:val="nil"/>
              <w:bottom w:val="single" w:color="auto" w:sz="4" w:space="0"/>
              <w:right w:val="single" w:color="auto" w:sz="4" w:space="0"/>
            </w:tcBorders>
            <w:shd w:val="clear" w:color="auto" w:fill="auto"/>
            <w:noWrap/>
            <w:vAlign w:val="center"/>
          </w:tcPr>
          <w:p w14:paraId="3BB2A97B">
            <w:pPr>
              <w:widowControl/>
              <w:jc w:val="center"/>
              <w:rPr>
                <w:rFonts w:ascii="宋体" w:hAnsi="宋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14:paraId="1B45F54D">
            <w:pPr>
              <w:widowControl/>
              <w:jc w:val="center"/>
              <w:rPr>
                <w:rFonts w:ascii="宋体" w:hAnsi="宋体" w:cs="宋体"/>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14:paraId="30B13B37">
            <w:pPr>
              <w:widowControl/>
              <w:jc w:val="center"/>
              <w:rPr>
                <w:rFonts w:ascii="宋体" w:hAnsi="宋体" w:cs="宋体"/>
                <w:kern w:val="0"/>
                <w:sz w:val="20"/>
                <w:szCs w:val="20"/>
              </w:rPr>
            </w:pPr>
          </w:p>
        </w:tc>
        <w:tc>
          <w:tcPr>
            <w:tcW w:w="898" w:type="dxa"/>
            <w:tcBorders>
              <w:top w:val="nil"/>
              <w:left w:val="nil"/>
              <w:bottom w:val="single" w:color="auto" w:sz="4" w:space="0"/>
              <w:right w:val="single" w:color="auto" w:sz="4" w:space="0"/>
            </w:tcBorders>
            <w:shd w:val="clear" w:color="auto" w:fill="auto"/>
            <w:noWrap/>
            <w:vAlign w:val="center"/>
          </w:tcPr>
          <w:p w14:paraId="7E21228E">
            <w:pPr>
              <w:widowControl/>
              <w:jc w:val="center"/>
              <w:rPr>
                <w:rFonts w:ascii="宋体" w:hAnsi="宋体" w:cs="宋体"/>
                <w:kern w:val="0"/>
                <w:sz w:val="20"/>
                <w:szCs w:val="20"/>
              </w:rPr>
            </w:pPr>
          </w:p>
        </w:tc>
        <w:tc>
          <w:tcPr>
            <w:tcW w:w="662" w:type="dxa"/>
            <w:tcBorders>
              <w:top w:val="nil"/>
              <w:left w:val="nil"/>
              <w:bottom w:val="single" w:color="auto" w:sz="4" w:space="0"/>
              <w:right w:val="single" w:color="auto" w:sz="4" w:space="0"/>
            </w:tcBorders>
            <w:shd w:val="clear" w:color="auto" w:fill="auto"/>
            <w:noWrap/>
            <w:vAlign w:val="center"/>
          </w:tcPr>
          <w:p w14:paraId="2521AE75">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323495BB">
            <w:pPr>
              <w:widowControl/>
              <w:jc w:val="center"/>
              <w:rPr>
                <w:rFonts w:ascii="宋体" w:hAnsi="宋体" w:cs="宋体"/>
                <w:kern w:val="0"/>
                <w:sz w:val="20"/>
                <w:szCs w:val="20"/>
              </w:rPr>
            </w:pPr>
          </w:p>
        </w:tc>
      </w:tr>
      <w:tr w14:paraId="5FB67062">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auto" w:fill="auto"/>
            <w:noWrap/>
            <w:vAlign w:val="center"/>
          </w:tcPr>
          <w:p w14:paraId="43E45A9E">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5BA22F95">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1842D0A5">
            <w:pPr>
              <w:widowControl/>
              <w:jc w:val="center"/>
              <w:rPr>
                <w:rFonts w:ascii="宋体" w:hAnsi="宋体" w:cs="宋体"/>
                <w:kern w:val="0"/>
                <w:sz w:val="20"/>
                <w:szCs w:val="20"/>
              </w:rPr>
            </w:pPr>
          </w:p>
        </w:tc>
        <w:tc>
          <w:tcPr>
            <w:tcW w:w="1417" w:type="dxa"/>
            <w:tcBorders>
              <w:top w:val="nil"/>
              <w:left w:val="nil"/>
              <w:bottom w:val="single" w:color="auto" w:sz="4" w:space="0"/>
              <w:right w:val="single" w:color="auto" w:sz="4" w:space="0"/>
            </w:tcBorders>
            <w:shd w:val="clear" w:color="auto" w:fill="auto"/>
            <w:noWrap/>
            <w:vAlign w:val="center"/>
          </w:tcPr>
          <w:p w14:paraId="5735159B">
            <w:pPr>
              <w:widowControl/>
              <w:jc w:val="center"/>
              <w:rPr>
                <w:rFonts w:ascii="宋体" w:hAnsi="宋体" w:cs="宋体"/>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14:paraId="23A80492">
            <w:pPr>
              <w:widowControl/>
              <w:jc w:val="center"/>
              <w:rPr>
                <w:rFonts w:ascii="宋体" w:hAnsi="宋体" w:cs="宋体"/>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14:paraId="5D84B25D">
            <w:pPr>
              <w:widowControl/>
              <w:jc w:val="center"/>
              <w:rPr>
                <w:rFonts w:ascii="宋体" w:hAnsi="宋体" w:cs="宋体"/>
                <w:kern w:val="0"/>
                <w:sz w:val="20"/>
                <w:szCs w:val="20"/>
              </w:rPr>
            </w:pPr>
          </w:p>
        </w:tc>
        <w:tc>
          <w:tcPr>
            <w:tcW w:w="898" w:type="dxa"/>
            <w:tcBorders>
              <w:top w:val="nil"/>
              <w:left w:val="nil"/>
              <w:bottom w:val="single" w:color="auto" w:sz="4" w:space="0"/>
              <w:right w:val="single" w:color="auto" w:sz="4" w:space="0"/>
            </w:tcBorders>
            <w:shd w:val="clear" w:color="auto" w:fill="auto"/>
            <w:noWrap/>
            <w:vAlign w:val="center"/>
          </w:tcPr>
          <w:p w14:paraId="2B4D0B2A">
            <w:pPr>
              <w:widowControl/>
              <w:jc w:val="center"/>
              <w:rPr>
                <w:rFonts w:ascii="宋体" w:hAnsi="宋体" w:cs="宋体"/>
                <w:kern w:val="0"/>
                <w:sz w:val="20"/>
                <w:szCs w:val="20"/>
              </w:rPr>
            </w:pPr>
          </w:p>
        </w:tc>
        <w:tc>
          <w:tcPr>
            <w:tcW w:w="662" w:type="dxa"/>
            <w:tcBorders>
              <w:top w:val="nil"/>
              <w:left w:val="nil"/>
              <w:bottom w:val="single" w:color="auto" w:sz="4" w:space="0"/>
              <w:right w:val="single" w:color="auto" w:sz="4" w:space="0"/>
            </w:tcBorders>
            <w:shd w:val="clear" w:color="auto" w:fill="auto"/>
            <w:noWrap/>
            <w:vAlign w:val="center"/>
          </w:tcPr>
          <w:p w14:paraId="3CB6FF06">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6A069700">
            <w:pPr>
              <w:widowControl/>
              <w:jc w:val="center"/>
              <w:rPr>
                <w:rFonts w:ascii="宋体" w:hAnsi="宋体" w:cs="宋体"/>
                <w:kern w:val="0"/>
                <w:sz w:val="20"/>
                <w:szCs w:val="20"/>
              </w:rPr>
            </w:pPr>
          </w:p>
        </w:tc>
      </w:tr>
    </w:tbl>
    <w:p w14:paraId="69957A62">
      <w:pPr>
        <w:rPr>
          <w:rFonts w:ascii="Times New Roman" w:hAnsi="Times New Roman"/>
        </w:rPr>
      </w:pPr>
    </w:p>
    <w:p w14:paraId="0A98E2EA">
      <w:pPr>
        <w:keepNext/>
        <w:keepLines/>
        <w:spacing w:before="280" w:after="290" w:line="376" w:lineRule="auto"/>
        <w:outlineLvl w:val="3"/>
        <w:rPr>
          <w:rFonts w:ascii="Arial" w:hAnsi="Arial" w:eastAsia="黑体"/>
          <w:b/>
          <w:bCs/>
          <w:sz w:val="28"/>
          <w:szCs w:val="28"/>
        </w:rPr>
      </w:pPr>
      <w:r>
        <w:rPr>
          <w:rFonts w:hint="eastAsia" w:ascii="Arial" w:hAnsi="Arial" w:eastAsia="黑体"/>
          <w:b/>
          <w:bCs/>
          <w:sz w:val="28"/>
          <w:szCs w:val="28"/>
        </w:rPr>
        <w:t>（5）</w:t>
      </w:r>
      <w:r>
        <w:rPr>
          <w:rFonts w:hint="eastAsia" w:ascii="Arial" w:hAnsi="Arial" w:eastAsia="黑体"/>
          <w:b/>
          <w:bCs/>
          <w:kern w:val="0"/>
          <w:sz w:val="28"/>
          <w:szCs w:val="28"/>
        </w:rPr>
        <w:t>措施项目清单与计价汇总表</w:t>
      </w:r>
    </w:p>
    <w:tbl>
      <w:tblPr>
        <w:tblStyle w:val="50"/>
        <w:tblW w:w="8379" w:type="dxa"/>
        <w:tblInd w:w="93" w:type="dxa"/>
        <w:tblLayout w:type="autofit"/>
        <w:tblCellMar>
          <w:top w:w="0" w:type="dxa"/>
          <w:left w:w="108" w:type="dxa"/>
          <w:bottom w:w="0" w:type="dxa"/>
          <w:right w:w="108" w:type="dxa"/>
        </w:tblCellMar>
      </w:tblPr>
      <w:tblGrid>
        <w:gridCol w:w="441"/>
        <w:gridCol w:w="5953"/>
        <w:gridCol w:w="1985"/>
      </w:tblGrid>
      <w:tr w14:paraId="27EA7CA5">
        <w:tblPrEx>
          <w:tblCellMar>
            <w:top w:w="0" w:type="dxa"/>
            <w:left w:w="108" w:type="dxa"/>
            <w:bottom w:w="0" w:type="dxa"/>
            <w:right w:w="108" w:type="dxa"/>
          </w:tblCellMar>
        </w:tblPrEx>
        <w:trPr>
          <w:trHeight w:val="668" w:hRule="atLeast"/>
        </w:trPr>
        <w:tc>
          <w:tcPr>
            <w:tcW w:w="6394" w:type="dxa"/>
            <w:gridSpan w:val="2"/>
            <w:tcBorders>
              <w:top w:val="nil"/>
              <w:left w:val="nil"/>
              <w:bottom w:val="nil"/>
              <w:right w:val="nil"/>
            </w:tcBorders>
            <w:shd w:val="clear" w:color="auto" w:fill="auto"/>
            <w:vAlign w:val="bottom"/>
          </w:tcPr>
          <w:p w14:paraId="4D6E4988">
            <w:pPr>
              <w:widowControl/>
              <w:jc w:val="left"/>
              <w:rPr>
                <w:rFonts w:ascii="宋体" w:hAnsi="宋体" w:cs="宋体"/>
                <w:kern w:val="0"/>
                <w:sz w:val="20"/>
                <w:szCs w:val="20"/>
              </w:rPr>
            </w:pPr>
            <w:r>
              <w:rPr>
                <w:rFonts w:hint="eastAsia" w:ascii="宋体" w:hAnsi="宋体" w:cs="宋体"/>
                <w:kern w:val="0"/>
                <w:sz w:val="20"/>
                <w:szCs w:val="20"/>
              </w:rPr>
              <w:t>工程名称</w:t>
            </w:r>
            <w:r>
              <w:rPr>
                <w:rFonts w:ascii="宋体" w:hAnsi="宋体" w:cs="宋体"/>
                <w:kern w:val="0"/>
                <w:sz w:val="20"/>
                <w:szCs w:val="20"/>
              </w:rPr>
              <w:t xml:space="preserve">: </w:t>
            </w:r>
          </w:p>
        </w:tc>
        <w:tc>
          <w:tcPr>
            <w:tcW w:w="1985" w:type="dxa"/>
            <w:tcBorders>
              <w:top w:val="nil"/>
              <w:left w:val="nil"/>
              <w:bottom w:val="nil"/>
              <w:right w:val="nil"/>
            </w:tcBorders>
            <w:shd w:val="clear" w:color="auto" w:fill="auto"/>
            <w:vAlign w:val="bottom"/>
          </w:tcPr>
          <w:p w14:paraId="0A8009AF">
            <w:pPr>
              <w:widowControl/>
              <w:jc w:val="right"/>
              <w:rPr>
                <w:rFonts w:ascii="宋体" w:hAnsi="宋体" w:cs="宋体"/>
                <w:kern w:val="0"/>
                <w:sz w:val="20"/>
                <w:szCs w:val="20"/>
              </w:rPr>
            </w:pPr>
            <w:r>
              <w:rPr>
                <w:rFonts w:hint="eastAsia" w:ascii="宋体" w:hAnsi="宋体" w:cs="宋体"/>
                <w:kern w:val="0"/>
                <w:sz w:val="20"/>
                <w:szCs w:val="20"/>
              </w:rPr>
              <w:t>第</w:t>
            </w:r>
            <w:r>
              <w:rPr>
                <w:rFonts w:ascii="宋体" w:hAnsi="宋体" w:cs="宋体"/>
                <w:kern w:val="0"/>
                <w:sz w:val="20"/>
                <w:szCs w:val="20"/>
              </w:rPr>
              <w:t xml:space="preserve">1页 </w:t>
            </w:r>
            <w:r>
              <w:rPr>
                <w:rFonts w:hint="eastAsia" w:ascii="宋体" w:hAnsi="宋体" w:cs="宋体"/>
                <w:kern w:val="0"/>
                <w:sz w:val="20"/>
                <w:szCs w:val="20"/>
              </w:rPr>
              <w:t>共</w:t>
            </w:r>
            <w:r>
              <w:rPr>
                <w:rFonts w:ascii="宋体" w:hAnsi="宋体" w:cs="宋体"/>
                <w:kern w:val="0"/>
                <w:sz w:val="20"/>
                <w:szCs w:val="20"/>
              </w:rPr>
              <w:t>1页</w:t>
            </w:r>
          </w:p>
        </w:tc>
      </w:tr>
      <w:tr w14:paraId="6960B555">
        <w:tblPrEx>
          <w:tblCellMar>
            <w:top w:w="0" w:type="dxa"/>
            <w:left w:w="108" w:type="dxa"/>
            <w:bottom w:w="0" w:type="dxa"/>
            <w:right w:w="108" w:type="dxa"/>
          </w:tblCellMar>
        </w:tblPrEx>
        <w:trPr>
          <w:trHeight w:val="372" w:hRule="atLeast"/>
        </w:trPr>
        <w:tc>
          <w:tcPr>
            <w:tcW w:w="441" w:type="dxa"/>
            <w:tcBorders>
              <w:top w:val="single" w:color="auto" w:sz="4" w:space="0"/>
              <w:left w:val="single" w:color="auto" w:sz="4" w:space="0"/>
              <w:bottom w:val="single" w:color="000000" w:sz="4" w:space="0"/>
              <w:right w:val="single" w:color="000000" w:sz="4" w:space="0"/>
            </w:tcBorders>
            <w:shd w:val="clear" w:color="000000" w:fill="FFFFFF"/>
            <w:noWrap/>
            <w:vAlign w:val="center"/>
          </w:tcPr>
          <w:p w14:paraId="23A62026">
            <w:pPr>
              <w:widowControl/>
              <w:jc w:val="center"/>
              <w:rPr>
                <w:rFonts w:ascii="宋体" w:hAnsi="宋体" w:cs="宋体"/>
                <w:kern w:val="0"/>
                <w:sz w:val="20"/>
                <w:szCs w:val="20"/>
              </w:rPr>
            </w:pPr>
            <w:r>
              <w:rPr>
                <w:rFonts w:hint="eastAsia" w:ascii="宋体" w:hAnsi="宋体" w:cs="宋体"/>
                <w:kern w:val="0"/>
                <w:sz w:val="20"/>
                <w:szCs w:val="20"/>
              </w:rPr>
              <w:t>序号</w:t>
            </w:r>
          </w:p>
        </w:tc>
        <w:tc>
          <w:tcPr>
            <w:tcW w:w="5953" w:type="dxa"/>
            <w:tcBorders>
              <w:top w:val="single" w:color="auto" w:sz="4" w:space="0"/>
              <w:left w:val="nil"/>
              <w:bottom w:val="single" w:color="000000" w:sz="4" w:space="0"/>
              <w:right w:val="single" w:color="000000" w:sz="4" w:space="0"/>
            </w:tcBorders>
            <w:shd w:val="clear" w:color="000000" w:fill="FFFFFF"/>
            <w:vAlign w:val="center"/>
          </w:tcPr>
          <w:p w14:paraId="160383F0">
            <w:pPr>
              <w:widowControl/>
              <w:jc w:val="center"/>
              <w:rPr>
                <w:rFonts w:ascii="宋体" w:hAnsi="宋体" w:cs="宋体"/>
                <w:kern w:val="0"/>
                <w:sz w:val="20"/>
                <w:szCs w:val="20"/>
              </w:rPr>
            </w:pPr>
            <w:r>
              <w:rPr>
                <w:rFonts w:hint="eastAsia" w:ascii="宋体" w:hAnsi="宋体" w:cs="宋体"/>
                <w:kern w:val="0"/>
                <w:sz w:val="20"/>
                <w:szCs w:val="20"/>
              </w:rPr>
              <w:t>项目名称</w:t>
            </w:r>
          </w:p>
        </w:tc>
        <w:tc>
          <w:tcPr>
            <w:tcW w:w="1985" w:type="dxa"/>
            <w:tcBorders>
              <w:top w:val="single" w:color="auto" w:sz="4" w:space="0"/>
              <w:left w:val="nil"/>
              <w:bottom w:val="single" w:color="000000" w:sz="4" w:space="0"/>
              <w:right w:val="single" w:color="auto" w:sz="4" w:space="0"/>
            </w:tcBorders>
            <w:shd w:val="clear" w:color="000000" w:fill="FFFFFF"/>
            <w:noWrap/>
            <w:vAlign w:val="center"/>
          </w:tcPr>
          <w:p w14:paraId="509CD9EF">
            <w:pPr>
              <w:widowControl/>
              <w:jc w:val="center"/>
              <w:rPr>
                <w:rFonts w:ascii="宋体" w:hAnsi="宋体" w:cs="宋体"/>
                <w:kern w:val="0"/>
                <w:sz w:val="20"/>
                <w:szCs w:val="20"/>
              </w:rPr>
            </w:pPr>
            <w:r>
              <w:rPr>
                <w:rFonts w:hint="eastAsia" w:ascii="宋体" w:hAnsi="宋体" w:cs="宋体"/>
                <w:kern w:val="0"/>
                <w:sz w:val="20"/>
                <w:szCs w:val="20"/>
              </w:rPr>
              <w:t>金额</w:t>
            </w:r>
            <w:r>
              <w:rPr>
                <w:rFonts w:ascii="宋体" w:hAnsi="宋体" w:cs="宋体"/>
                <w:kern w:val="0"/>
                <w:sz w:val="20"/>
                <w:szCs w:val="20"/>
              </w:rPr>
              <w:t>(元)</w:t>
            </w:r>
          </w:p>
        </w:tc>
      </w:tr>
      <w:tr w14:paraId="6FB7152E">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000000" w:fill="FFFFFF"/>
            <w:noWrap/>
            <w:vAlign w:val="center"/>
          </w:tcPr>
          <w:p w14:paraId="3929C6D1">
            <w:pPr>
              <w:widowControl/>
              <w:jc w:val="center"/>
              <w:rPr>
                <w:rFonts w:ascii="宋体" w:hAnsi="宋体" w:cs="宋体"/>
                <w:kern w:val="0"/>
                <w:sz w:val="18"/>
                <w:szCs w:val="18"/>
              </w:rPr>
            </w:pPr>
          </w:p>
        </w:tc>
        <w:tc>
          <w:tcPr>
            <w:tcW w:w="5953" w:type="dxa"/>
            <w:tcBorders>
              <w:top w:val="single" w:color="auto" w:sz="4" w:space="0"/>
              <w:left w:val="nil"/>
              <w:bottom w:val="single" w:color="auto" w:sz="4" w:space="0"/>
              <w:right w:val="single" w:color="000000" w:sz="4" w:space="0"/>
            </w:tcBorders>
            <w:shd w:val="clear" w:color="000000" w:fill="FFFFFF"/>
            <w:vAlign w:val="center"/>
          </w:tcPr>
          <w:p w14:paraId="721CA12D">
            <w:pPr>
              <w:widowControl/>
              <w:jc w:val="center"/>
              <w:rPr>
                <w:rFonts w:ascii="宋体" w:hAnsi="宋体" w:cs="宋体"/>
                <w:kern w:val="0"/>
                <w:sz w:val="18"/>
                <w:szCs w:val="18"/>
              </w:rPr>
            </w:pPr>
          </w:p>
        </w:tc>
        <w:tc>
          <w:tcPr>
            <w:tcW w:w="1985" w:type="dxa"/>
            <w:tcBorders>
              <w:top w:val="nil"/>
              <w:left w:val="nil"/>
              <w:bottom w:val="single" w:color="auto" w:sz="4" w:space="0"/>
              <w:right w:val="single" w:color="auto" w:sz="4" w:space="0"/>
            </w:tcBorders>
            <w:shd w:val="clear" w:color="000000" w:fill="FFFFFF"/>
            <w:noWrap/>
            <w:vAlign w:val="center"/>
          </w:tcPr>
          <w:p w14:paraId="61C1D642">
            <w:pPr>
              <w:widowControl/>
              <w:jc w:val="center"/>
              <w:rPr>
                <w:rFonts w:ascii="宋体" w:hAnsi="宋体" w:cs="宋体"/>
                <w:kern w:val="0"/>
                <w:sz w:val="18"/>
                <w:szCs w:val="18"/>
              </w:rPr>
            </w:pPr>
          </w:p>
        </w:tc>
      </w:tr>
      <w:tr w14:paraId="1A6D01ED">
        <w:trPr>
          <w:trHeight w:val="462" w:hRule="atLeast"/>
        </w:trPr>
        <w:tc>
          <w:tcPr>
            <w:tcW w:w="441" w:type="dxa"/>
            <w:tcBorders>
              <w:top w:val="nil"/>
              <w:left w:val="single" w:color="auto" w:sz="4" w:space="0"/>
              <w:bottom w:val="single" w:color="auto" w:sz="4" w:space="0"/>
              <w:right w:val="single" w:color="auto" w:sz="4" w:space="0"/>
            </w:tcBorders>
            <w:shd w:val="clear" w:color="000000" w:fill="FFFFFF"/>
            <w:noWrap/>
            <w:vAlign w:val="center"/>
          </w:tcPr>
          <w:p w14:paraId="02352901">
            <w:pPr>
              <w:widowControl/>
              <w:jc w:val="center"/>
              <w:rPr>
                <w:rFonts w:ascii="宋体" w:hAnsi="宋体" w:cs="宋体"/>
                <w:kern w:val="0"/>
                <w:sz w:val="18"/>
                <w:szCs w:val="18"/>
              </w:rPr>
            </w:pPr>
          </w:p>
        </w:tc>
        <w:tc>
          <w:tcPr>
            <w:tcW w:w="5953" w:type="dxa"/>
            <w:tcBorders>
              <w:top w:val="single" w:color="auto" w:sz="4" w:space="0"/>
              <w:left w:val="nil"/>
              <w:bottom w:val="single" w:color="auto" w:sz="4" w:space="0"/>
              <w:right w:val="single" w:color="000000" w:sz="4" w:space="0"/>
            </w:tcBorders>
            <w:shd w:val="clear" w:color="000000" w:fill="FFFFFF"/>
            <w:vAlign w:val="center"/>
          </w:tcPr>
          <w:p w14:paraId="13E1B94A">
            <w:pPr>
              <w:widowControl/>
              <w:jc w:val="center"/>
              <w:rPr>
                <w:rFonts w:ascii="宋体" w:hAnsi="宋体" w:cs="宋体"/>
                <w:kern w:val="0"/>
                <w:sz w:val="18"/>
                <w:szCs w:val="18"/>
              </w:rPr>
            </w:pPr>
          </w:p>
        </w:tc>
        <w:tc>
          <w:tcPr>
            <w:tcW w:w="1985" w:type="dxa"/>
            <w:tcBorders>
              <w:top w:val="nil"/>
              <w:left w:val="nil"/>
              <w:bottom w:val="single" w:color="auto" w:sz="4" w:space="0"/>
              <w:right w:val="single" w:color="auto" w:sz="4" w:space="0"/>
            </w:tcBorders>
            <w:shd w:val="clear" w:color="000000" w:fill="FFFFFF"/>
            <w:noWrap/>
            <w:vAlign w:val="center"/>
          </w:tcPr>
          <w:p w14:paraId="747B5D1D">
            <w:pPr>
              <w:widowControl/>
              <w:jc w:val="center"/>
              <w:rPr>
                <w:rFonts w:ascii="宋体" w:hAnsi="宋体" w:cs="宋体"/>
                <w:kern w:val="0"/>
                <w:sz w:val="18"/>
                <w:szCs w:val="18"/>
              </w:rPr>
            </w:pPr>
          </w:p>
        </w:tc>
      </w:tr>
      <w:tr w14:paraId="57E2632B">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000000" w:fill="FFFFFF"/>
            <w:noWrap/>
            <w:vAlign w:val="center"/>
          </w:tcPr>
          <w:p w14:paraId="5E2FC41A">
            <w:pPr>
              <w:widowControl/>
              <w:jc w:val="center"/>
              <w:rPr>
                <w:rFonts w:ascii="宋体" w:hAnsi="宋体" w:cs="宋体"/>
                <w:kern w:val="0"/>
                <w:sz w:val="18"/>
                <w:szCs w:val="18"/>
              </w:rPr>
            </w:pPr>
          </w:p>
        </w:tc>
        <w:tc>
          <w:tcPr>
            <w:tcW w:w="5953" w:type="dxa"/>
            <w:tcBorders>
              <w:top w:val="single" w:color="auto" w:sz="4" w:space="0"/>
              <w:left w:val="nil"/>
              <w:bottom w:val="single" w:color="auto" w:sz="4" w:space="0"/>
              <w:right w:val="single" w:color="000000" w:sz="4" w:space="0"/>
            </w:tcBorders>
            <w:shd w:val="clear" w:color="000000" w:fill="FFFFFF"/>
            <w:vAlign w:val="center"/>
          </w:tcPr>
          <w:p w14:paraId="4E89531C">
            <w:pPr>
              <w:widowControl/>
              <w:jc w:val="center"/>
              <w:rPr>
                <w:rFonts w:ascii="宋体" w:hAnsi="宋体" w:cs="宋体"/>
                <w:kern w:val="0"/>
                <w:sz w:val="18"/>
                <w:szCs w:val="18"/>
              </w:rPr>
            </w:pPr>
          </w:p>
        </w:tc>
        <w:tc>
          <w:tcPr>
            <w:tcW w:w="1985" w:type="dxa"/>
            <w:tcBorders>
              <w:top w:val="nil"/>
              <w:left w:val="nil"/>
              <w:bottom w:val="single" w:color="auto" w:sz="4" w:space="0"/>
              <w:right w:val="single" w:color="auto" w:sz="4" w:space="0"/>
            </w:tcBorders>
            <w:shd w:val="clear" w:color="000000" w:fill="FFFFFF"/>
            <w:noWrap/>
            <w:vAlign w:val="center"/>
          </w:tcPr>
          <w:p w14:paraId="38FF4DF3">
            <w:pPr>
              <w:widowControl/>
              <w:jc w:val="center"/>
              <w:rPr>
                <w:rFonts w:ascii="宋体" w:hAnsi="宋体" w:cs="宋体"/>
                <w:kern w:val="0"/>
                <w:sz w:val="18"/>
                <w:szCs w:val="18"/>
              </w:rPr>
            </w:pPr>
          </w:p>
        </w:tc>
      </w:tr>
      <w:tr w14:paraId="757F0ABA">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000000" w:fill="FFFFFF"/>
            <w:noWrap/>
            <w:vAlign w:val="center"/>
          </w:tcPr>
          <w:p w14:paraId="58D31B96">
            <w:pPr>
              <w:widowControl/>
              <w:jc w:val="center"/>
              <w:rPr>
                <w:rFonts w:ascii="宋体" w:hAnsi="宋体" w:cs="宋体"/>
                <w:kern w:val="0"/>
                <w:sz w:val="18"/>
                <w:szCs w:val="18"/>
              </w:rPr>
            </w:pPr>
          </w:p>
        </w:tc>
        <w:tc>
          <w:tcPr>
            <w:tcW w:w="5953" w:type="dxa"/>
            <w:tcBorders>
              <w:top w:val="single" w:color="auto" w:sz="4" w:space="0"/>
              <w:left w:val="nil"/>
              <w:bottom w:val="single" w:color="auto" w:sz="4" w:space="0"/>
              <w:right w:val="single" w:color="000000" w:sz="4" w:space="0"/>
            </w:tcBorders>
            <w:shd w:val="clear" w:color="000000" w:fill="FFFFFF"/>
            <w:vAlign w:val="center"/>
          </w:tcPr>
          <w:p w14:paraId="18CDE576">
            <w:pPr>
              <w:widowControl/>
              <w:jc w:val="center"/>
              <w:rPr>
                <w:rFonts w:ascii="宋体" w:hAnsi="宋体" w:cs="宋体"/>
                <w:kern w:val="0"/>
                <w:sz w:val="18"/>
                <w:szCs w:val="18"/>
              </w:rPr>
            </w:pPr>
          </w:p>
        </w:tc>
        <w:tc>
          <w:tcPr>
            <w:tcW w:w="1985" w:type="dxa"/>
            <w:tcBorders>
              <w:top w:val="nil"/>
              <w:left w:val="nil"/>
              <w:bottom w:val="single" w:color="auto" w:sz="4" w:space="0"/>
              <w:right w:val="single" w:color="auto" w:sz="4" w:space="0"/>
            </w:tcBorders>
            <w:shd w:val="clear" w:color="000000" w:fill="FFFFFF"/>
            <w:noWrap/>
            <w:vAlign w:val="center"/>
          </w:tcPr>
          <w:p w14:paraId="327F615F">
            <w:pPr>
              <w:widowControl/>
              <w:jc w:val="center"/>
              <w:rPr>
                <w:rFonts w:ascii="宋体" w:hAnsi="宋体" w:cs="宋体"/>
                <w:kern w:val="0"/>
                <w:sz w:val="18"/>
                <w:szCs w:val="18"/>
              </w:rPr>
            </w:pPr>
          </w:p>
        </w:tc>
      </w:tr>
      <w:tr w14:paraId="5F747FD4">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000000" w:fill="FFFFFF"/>
            <w:noWrap/>
            <w:vAlign w:val="center"/>
          </w:tcPr>
          <w:p w14:paraId="19277ABD">
            <w:pPr>
              <w:widowControl/>
              <w:jc w:val="center"/>
              <w:rPr>
                <w:rFonts w:ascii="宋体" w:hAnsi="宋体" w:cs="宋体"/>
                <w:kern w:val="0"/>
                <w:sz w:val="18"/>
                <w:szCs w:val="18"/>
              </w:rPr>
            </w:pPr>
          </w:p>
        </w:tc>
        <w:tc>
          <w:tcPr>
            <w:tcW w:w="5953" w:type="dxa"/>
            <w:tcBorders>
              <w:top w:val="single" w:color="auto" w:sz="4" w:space="0"/>
              <w:left w:val="nil"/>
              <w:bottom w:val="single" w:color="auto" w:sz="4" w:space="0"/>
              <w:right w:val="single" w:color="000000" w:sz="4" w:space="0"/>
            </w:tcBorders>
            <w:shd w:val="clear" w:color="000000" w:fill="FFFFFF"/>
            <w:vAlign w:val="center"/>
          </w:tcPr>
          <w:p w14:paraId="66DAFB0D">
            <w:pPr>
              <w:widowControl/>
              <w:jc w:val="center"/>
              <w:rPr>
                <w:rFonts w:ascii="宋体" w:hAnsi="宋体" w:cs="宋体"/>
                <w:kern w:val="0"/>
                <w:sz w:val="18"/>
                <w:szCs w:val="18"/>
              </w:rPr>
            </w:pPr>
          </w:p>
        </w:tc>
        <w:tc>
          <w:tcPr>
            <w:tcW w:w="1985" w:type="dxa"/>
            <w:tcBorders>
              <w:top w:val="nil"/>
              <w:left w:val="nil"/>
              <w:bottom w:val="single" w:color="auto" w:sz="4" w:space="0"/>
              <w:right w:val="single" w:color="auto" w:sz="4" w:space="0"/>
            </w:tcBorders>
            <w:shd w:val="clear" w:color="000000" w:fill="FFFFFF"/>
            <w:noWrap/>
            <w:vAlign w:val="center"/>
          </w:tcPr>
          <w:p w14:paraId="6EE735CF">
            <w:pPr>
              <w:widowControl/>
              <w:jc w:val="center"/>
              <w:rPr>
                <w:rFonts w:ascii="宋体" w:hAnsi="宋体" w:cs="宋体"/>
                <w:kern w:val="0"/>
                <w:sz w:val="18"/>
                <w:szCs w:val="18"/>
              </w:rPr>
            </w:pPr>
          </w:p>
        </w:tc>
      </w:tr>
      <w:tr w14:paraId="3E7F24A9">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000000" w:fill="FFFFFF"/>
            <w:noWrap/>
            <w:vAlign w:val="center"/>
          </w:tcPr>
          <w:p w14:paraId="67ABA2F6">
            <w:pPr>
              <w:widowControl/>
              <w:jc w:val="center"/>
              <w:rPr>
                <w:rFonts w:ascii="宋体" w:hAnsi="宋体" w:cs="宋体"/>
                <w:kern w:val="0"/>
                <w:sz w:val="18"/>
                <w:szCs w:val="18"/>
              </w:rPr>
            </w:pPr>
          </w:p>
        </w:tc>
        <w:tc>
          <w:tcPr>
            <w:tcW w:w="5953" w:type="dxa"/>
            <w:tcBorders>
              <w:top w:val="single" w:color="auto" w:sz="4" w:space="0"/>
              <w:left w:val="nil"/>
              <w:bottom w:val="single" w:color="auto" w:sz="4" w:space="0"/>
              <w:right w:val="single" w:color="000000" w:sz="4" w:space="0"/>
            </w:tcBorders>
            <w:shd w:val="clear" w:color="000000" w:fill="FFFFFF"/>
            <w:vAlign w:val="center"/>
          </w:tcPr>
          <w:p w14:paraId="1C132941">
            <w:pPr>
              <w:widowControl/>
              <w:jc w:val="center"/>
              <w:rPr>
                <w:rFonts w:ascii="宋体" w:hAnsi="宋体" w:cs="宋体"/>
                <w:kern w:val="0"/>
                <w:sz w:val="18"/>
                <w:szCs w:val="18"/>
              </w:rPr>
            </w:pPr>
          </w:p>
        </w:tc>
        <w:tc>
          <w:tcPr>
            <w:tcW w:w="1985" w:type="dxa"/>
            <w:tcBorders>
              <w:top w:val="nil"/>
              <w:left w:val="nil"/>
              <w:bottom w:val="single" w:color="auto" w:sz="4" w:space="0"/>
              <w:right w:val="single" w:color="auto" w:sz="4" w:space="0"/>
            </w:tcBorders>
            <w:shd w:val="clear" w:color="000000" w:fill="FFFFFF"/>
            <w:noWrap/>
            <w:vAlign w:val="center"/>
          </w:tcPr>
          <w:p w14:paraId="3F6CAFC6">
            <w:pPr>
              <w:widowControl/>
              <w:jc w:val="center"/>
              <w:rPr>
                <w:rFonts w:ascii="宋体" w:hAnsi="宋体" w:cs="宋体"/>
                <w:kern w:val="0"/>
                <w:sz w:val="18"/>
                <w:szCs w:val="18"/>
              </w:rPr>
            </w:pPr>
          </w:p>
        </w:tc>
      </w:tr>
      <w:tr w14:paraId="01533334">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000000" w:fill="FFFFFF"/>
            <w:noWrap/>
            <w:vAlign w:val="center"/>
          </w:tcPr>
          <w:p w14:paraId="741BB9C3">
            <w:pPr>
              <w:widowControl/>
              <w:jc w:val="center"/>
              <w:rPr>
                <w:rFonts w:ascii="宋体" w:hAnsi="宋体" w:cs="宋体"/>
                <w:kern w:val="0"/>
                <w:sz w:val="18"/>
                <w:szCs w:val="18"/>
              </w:rPr>
            </w:pPr>
          </w:p>
        </w:tc>
        <w:tc>
          <w:tcPr>
            <w:tcW w:w="5953" w:type="dxa"/>
            <w:tcBorders>
              <w:top w:val="single" w:color="auto" w:sz="4" w:space="0"/>
              <w:left w:val="nil"/>
              <w:bottom w:val="single" w:color="auto" w:sz="4" w:space="0"/>
              <w:right w:val="single" w:color="000000" w:sz="4" w:space="0"/>
            </w:tcBorders>
            <w:shd w:val="clear" w:color="000000" w:fill="FFFFFF"/>
            <w:vAlign w:val="center"/>
          </w:tcPr>
          <w:p w14:paraId="6CFFBBC7">
            <w:pPr>
              <w:widowControl/>
              <w:jc w:val="center"/>
              <w:rPr>
                <w:rFonts w:ascii="宋体" w:hAnsi="宋体" w:cs="宋体"/>
                <w:kern w:val="0"/>
                <w:sz w:val="18"/>
                <w:szCs w:val="18"/>
              </w:rPr>
            </w:pPr>
          </w:p>
        </w:tc>
        <w:tc>
          <w:tcPr>
            <w:tcW w:w="1985" w:type="dxa"/>
            <w:tcBorders>
              <w:top w:val="nil"/>
              <w:left w:val="nil"/>
              <w:bottom w:val="single" w:color="auto" w:sz="4" w:space="0"/>
              <w:right w:val="single" w:color="auto" w:sz="4" w:space="0"/>
            </w:tcBorders>
            <w:shd w:val="clear" w:color="000000" w:fill="FFFFFF"/>
            <w:noWrap/>
            <w:vAlign w:val="center"/>
          </w:tcPr>
          <w:p w14:paraId="3841E02A">
            <w:pPr>
              <w:widowControl/>
              <w:jc w:val="center"/>
              <w:rPr>
                <w:rFonts w:ascii="宋体" w:hAnsi="宋体" w:cs="宋体"/>
                <w:kern w:val="0"/>
                <w:sz w:val="18"/>
                <w:szCs w:val="18"/>
              </w:rPr>
            </w:pPr>
          </w:p>
        </w:tc>
      </w:tr>
      <w:tr w14:paraId="2F406870">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000000" w:fill="FFFFFF"/>
            <w:noWrap/>
            <w:vAlign w:val="center"/>
          </w:tcPr>
          <w:p w14:paraId="1ED2EF2B">
            <w:pPr>
              <w:widowControl/>
              <w:jc w:val="center"/>
              <w:rPr>
                <w:rFonts w:ascii="宋体" w:hAnsi="宋体" w:cs="宋体"/>
                <w:kern w:val="0"/>
                <w:sz w:val="18"/>
                <w:szCs w:val="18"/>
              </w:rPr>
            </w:pPr>
          </w:p>
        </w:tc>
        <w:tc>
          <w:tcPr>
            <w:tcW w:w="5953" w:type="dxa"/>
            <w:tcBorders>
              <w:top w:val="single" w:color="auto" w:sz="4" w:space="0"/>
              <w:left w:val="nil"/>
              <w:bottom w:val="single" w:color="auto" w:sz="4" w:space="0"/>
              <w:right w:val="single" w:color="000000" w:sz="4" w:space="0"/>
            </w:tcBorders>
            <w:shd w:val="clear" w:color="000000" w:fill="FFFFFF"/>
            <w:vAlign w:val="center"/>
          </w:tcPr>
          <w:p w14:paraId="58ABE9AF">
            <w:pPr>
              <w:widowControl/>
              <w:jc w:val="center"/>
              <w:rPr>
                <w:rFonts w:ascii="宋体" w:hAnsi="宋体" w:cs="宋体"/>
                <w:kern w:val="0"/>
                <w:sz w:val="18"/>
                <w:szCs w:val="18"/>
              </w:rPr>
            </w:pPr>
          </w:p>
        </w:tc>
        <w:tc>
          <w:tcPr>
            <w:tcW w:w="1985" w:type="dxa"/>
            <w:tcBorders>
              <w:top w:val="nil"/>
              <w:left w:val="nil"/>
              <w:bottom w:val="single" w:color="auto" w:sz="4" w:space="0"/>
              <w:right w:val="single" w:color="auto" w:sz="4" w:space="0"/>
            </w:tcBorders>
            <w:shd w:val="clear" w:color="000000" w:fill="FFFFFF"/>
            <w:noWrap/>
            <w:vAlign w:val="center"/>
          </w:tcPr>
          <w:p w14:paraId="33B0165D">
            <w:pPr>
              <w:widowControl/>
              <w:jc w:val="center"/>
              <w:rPr>
                <w:rFonts w:ascii="宋体" w:hAnsi="宋体" w:cs="宋体"/>
                <w:kern w:val="0"/>
                <w:sz w:val="18"/>
                <w:szCs w:val="18"/>
              </w:rPr>
            </w:pPr>
          </w:p>
        </w:tc>
      </w:tr>
      <w:tr w14:paraId="5C7620A3">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auto" w:fill="auto"/>
            <w:noWrap/>
            <w:vAlign w:val="center"/>
          </w:tcPr>
          <w:p w14:paraId="1FDA2572">
            <w:pPr>
              <w:widowControl/>
              <w:jc w:val="center"/>
              <w:rPr>
                <w:rFonts w:ascii="宋体" w:hAnsi="宋体" w:cs="宋体"/>
                <w:kern w:val="0"/>
                <w:sz w:val="20"/>
                <w:szCs w:val="20"/>
              </w:rPr>
            </w:pPr>
          </w:p>
        </w:tc>
        <w:tc>
          <w:tcPr>
            <w:tcW w:w="5953" w:type="dxa"/>
            <w:tcBorders>
              <w:top w:val="single" w:color="auto" w:sz="4" w:space="0"/>
              <w:left w:val="nil"/>
              <w:bottom w:val="single" w:color="auto" w:sz="4" w:space="0"/>
              <w:right w:val="single" w:color="000000" w:sz="4" w:space="0"/>
            </w:tcBorders>
            <w:shd w:val="clear" w:color="auto" w:fill="auto"/>
            <w:noWrap/>
            <w:vAlign w:val="center"/>
          </w:tcPr>
          <w:p w14:paraId="637C981B">
            <w:pPr>
              <w:widowControl/>
              <w:jc w:val="center"/>
              <w:rPr>
                <w:rFonts w:ascii="宋体" w:hAnsi="宋体" w:cs="宋体"/>
                <w:kern w:val="0"/>
                <w:sz w:val="20"/>
                <w:szCs w:val="20"/>
              </w:rPr>
            </w:pPr>
          </w:p>
        </w:tc>
        <w:tc>
          <w:tcPr>
            <w:tcW w:w="1985" w:type="dxa"/>
            <w:tcBorders>
              <w:top w:val="nil"/>
              <w:left w:val="nil"/>
              <w:bottom w:val="single" w:color="auto" w:sz="4" w:space="0"/>
              <w:right w:val="single" w:color="auto" w:sz="4" w:space="0"/>
            </w:tcBorders>
            <w:shd w:val="clear" w:color="auto" w:fill="auto"/>
            <w:noWrap/>
            <w:vAlign w:val="center"/>
          </w:tcPr>
          <w:p w14:paraId="79092F73">
            <w:pPr>
              <w:widowControl/>
              <w:jc w:val="center"/>
              <w:rPr>
                <w:rFonts w:ascii="宋体" w:hAnsi="宋体" w:cs="宋体"/>
                <w:kern w:val="0"/>
                <w:sz w:val="20"/>
                <w:szCs w:val="20"/>
              </w:rPr>
            </w:pPr>
          </w:p>
        </w:tc>
      </w:tr>
      <w:tr w14:paraId="4ED4A999">
        <w:tblPrEx>
          <w:tblCellMar>
            <w:top w:w="0" w:type="dxa"/>
            <w:left w:w="108" w:type="dxa"/>
            <w:bottom w:w="0" w:type="dxa"/>
            <w:right w:w="108" w:type="dxa"/>
          </w:tblCellMar>
        </w:tblPrEx>
        <w:trPr>
          <w:trHeight w:val="462" w:hRule="atLeast"/>
        </w:trPr>
        <w:tc>
          <w:tcPr>
            <w:tcW w:w="441" w:type="dxa"/>
            <w:tcBorders>
              <w:top w:val="nil"/>
              <w:left w:val="single" w:color="auto" w:sz="4" w:space="0"/>
              <w:bottom w:val="single" w:color="auto" w:sz="4" w:space="0"/>
              <w:right w:val="single" w:color="auto" w:sz="4" w:space="0"/>
            </w:tcBorders>
            <w:shd w:val="clear" w:color="auto" w:fill="auto"/>
            <w:noWrap/>
            <w:vAlign w:val="center"/>
          </w:tcPr>
          <w:p w14:paraId="3E711946">
            <w:pPr>
              <w:widowControl/>
              <w:jc w:val="center"/>
              <w:rPr>
                <w:rFonts w:ascii="宋体" w:hAnsi="宋体" w:cs="宋体"/>
                <w:kern w:val="0"/>
                <w:sz w:val="20"/>
                <w:szCs w:val="20"/>
              </w:rPr>
            </w:pPr>
          </w:p>
        </w:tc>
        <w:tc>
          <w:tcPr>
            <w:tcW w:w="5953" w:type="dxa"/>
            <w:tcBorders>
              <w:top w:val="single" w:color="auto" w:sz="4" w:space="0"/>
              <w:left w:val="nil"/>
              <w:bottom w:val="single" w:color="auto" w:sz="4" w:space="0"/>
              <w:right w:val="single" w:color="000000" w:sz="4" w:space="0"/>
            </w:tcBorders>
            <w:shd w:val="clear" w:color="auto" w:fill="auto"/>
            <w:noWrap/>
            <w:vAlign w:val="center"/>
          </w:tcPr>
          <w:p w14:paraId="3075A37F">
            <w:pPr>
              <w:widowControl/>
              <w:jc w:val="center"/>
              <w:rPr>
                <w:rFonts w:ascii="宋体" w:hAnsi="宋体" w:cs="宋体"/>
                <w:kern w:val="0"/>
                <w:sz w:val="20"/>
                <w:szCs w:val="20"/>
              </w:rPr>
            </w:pPr>
          </w:p>
        </w:tc>
        <w:tc>
          <w:tcPr>
            <w:tcW w:w="1985" w:type="dxa"/>
            <w:tcBorders>
              <w:top w:val="nil"/>
              <w:left w:val="nil"/>
              <w:bottom w:val="single" w:color="auto" w:sz="4" w:space="0"/>
              <w:right w:val="single" w:color="auto" w:sz="4" w:space="0"/>
            </w:tcBorders>
            <w:shd w:val="clear" w:color="auto" w:fill="auto"/>
            <w:noWrap/>
            <w:vAlign w:val="center"/>
          </w:tcPr>
          <w:p w14:paraId="19C25264">
            <w:pPr>
              <w:widowControl/>
              <w:jc w:val="center"/>
              <w:rPr>
                <w:rFonts w:ascii="宋体" w:hAnsi="宋体" w:cs="宋体"/>
                <w:kern w:val="0"/>
                <w:sz w:val="20"/>
                <w:szCs w:val="20"/>
              </w:rPr>
            </w:pPr>
          </w:p>
        </w:tc>
      </w:tr>
      <w:tr w14:paraId="75174872">
        <w:trPr>
          <w:trHeight w:val="462" w:hRule="atLeast"/>
        </w:trPr>
        <w:tc>
          <w:tcPr>
            <w:tcW w:w="6394" w:type="dxa"/>
            <w:gridSpan w:val="2"/>
            <w:tcBorders>
              <w:top w:val="single" w:color="auto" w:sz="4" w:space="0"/>
              <w:left w:val="single" w:color="auto" w:sz="4" w:space="0"/>
              <w:bottom w:val="single" w:color="auto" w:sz="4" w:space="0"/>
              <w:right w:val="single" w:color="000000" w:sz="4" w:space="0"/>
            </w:tcBorders>
            <w:shd w:val="clear" w:color="000000" w:fill="FFFFFF"/>
            <w:vAlign w:val="center"/>
          </w:tcPr>
          <w:p w14:paraId="3379E357">
            <w:pPr>
              <w:widowControl/>
              <w:jc w:val="center"/>
              <w:rPr>
                <w:rFonts w:ascii="宋体" w:hAnsi="宋体" w:cs="宋体"/>
                <w:kern w:val="0"/>
                <w:sz w:val="18"/>
                <w:szCs w:val="18"/>
              </w:rPr>
            </w:pPr>
            <w:r>
              <w:rPr>
                <w:rFonts w:hint="eastAsia" w:ascii="宋体" w:hAnsi="宋体" w:cs="宋体"/>
                <w:kern w:val="0"/>
                <w:sz w:val="18"/>
                <w:szCs w:val="18"/>
              </w:rPr>
              <w:t>合</w:t>
            </w:r>
            <w:r>
              <w:rPr>
                <w:rFonts w:ascii="宋体" w:hAnsi="宋体" w:cs="宋体"/>
                <w:kern w:val="0"/>
                <w:sz w:val="18"/>
                <w:szCs w:val="18"/>
              </w:rPr>
              <w:t xml:space="preserve">  </w:t>
            </w:r>
            <w:r>
              <w:rPr>
                <w:rFonts w:hint="eastAsia" w:ascii="宋体" w:hAnsi="宋体" w:cs="宋体"/>
                <w:kern w:val="0"/>
                <w:sz w:val="18"/>
                <w:szCs w:val="18"/>
              </w:rPr>
              <w:t>计</w:t>
            </w:r>
          </w:p>
        </w:tc>
        <w:tc>
          <w:tcPr>
            <w:tcW w:w="1985" w:type="dxa"/>
            <w:tcBorders>
              <w:top w:val="nil"/>
              <w:left w:val="nil"/>
              <w:bottom w:val="single" w:color="auto" w:sz="4" w:space="0"/>
              <w:right w:val="single" w:color="auto" w:sz="4" w:space="0"/>
            </w:tcBorders>
            <w:shd w:val="clear" w:color="auto" w:fill="auto"/>
            <w:noWrap/>
            <w:vAlign w:val="center"/>
          </w:tcPr>
          <w:p w14:paraId="7EC14CD1">
            <w:pPr>
              <w:widowControl/>
              <w:jc w:val="center"/>
              <w:rPr>
                <w:rFonts w:ascii="宋体" w:hAnsi="宋体" w:cs="宋体"/>
                <w:kern w:val="0"/>
                <w:sz w:val="20"/>
                <w:szCs w:val="20"/>
              </w:rPr>
            </w:pPr>
          </w:p>
        </w:tc>
      </w:tr>
    </w:tbl>
    <w:p w14:paraId="12464345">
      <w:pPr>
        <w:keepNext/>
        <w:keepLines/>
        <w:spacing w:before="280" w:after="290" w:line="376" w:lineRule="auto"/>
        <w:outlineLvl w:val="3"/>
        <w:rPr>
          <w:rFonts w:ascii="Arial" w:hAnsi="Arial" w:eastAsia="黑体"/>
          <w:b/>
          <w:bCs/>
          <w:sz w:val="28"/>
          <w:szCs w:val="28"/>
        </w:rPr>
      </w:pPr>
      <w:r>
        <w:rPr>
          <w:rFonts w:hint="eastAsia" w:ascii="Arial" w:hAnsi="Arial" w:eastAsia="黑体"/>
          <w:b/>
          <w:bCs/>
          <w:sz w:val="28"/>
          <w:szCs w:val="28"/>
        </w:rPr>
        <w:t>（6）</w:t>
      </w:r>
      <w:r>
        <w:rPr>
          <w:rFonts w:hint="eastAsia" w:ascii="Arial" w:hAnsi="Arial" w:eastAsia="黑体"/>
          <w:b/>
          <w:bCs/>
          <w:kern w:val="0"/>
          <w:sz w:val="28"/>
          <w:szCs w:val="28"/>
        </w:rPr>
        <w:t>措施项目清单与计价表</w:t>
      </w:r>
      <w:r>
        <w:rPr>
          <w:rFonts w:ascii="Arial" w:hAnsi="Arial" w:eastAsia="黑体"/>
          <w:b/>
          <w:bCs/>
          <w:kern w:val="0"/>
          <w:sz w:val="28"/>
          <w:szCs w:val="28"/>
        </w:rPr>
        <w:t>(</w:t>
      </w:r>
      <w:r>
        <w:rPr>
          <w:rFonts w:hint="eastAsia" w:ascii="Arial" w:hAnsi="Arial" w:eastAsia="黑体"/>
          <w:b/>
          <w:bCs/>
          <w:kern w:val="0"/>
          <w:sz w:val="28"/>
          <w:szCs w:val="28"/>
        </w:rPr>
        <w:t>一</w:t>
      </w:r>
      <w:r>
        <w:rPr>
          <w:rFonts w:ascii="Arial" w:hAnsi="Arial" w:eastAsia="黑体"/>
          <w:b/>
          <w:bCs/>
          <w:kern w:val="0"/>
          <w:sz w:val="28"/>
          <w:szCs w:val="28"/>
        </w:rPr>
        <w:t>)</w:t>
      </w:r>
    </w:p>
    <w:tbl>
      <w:tblPr>
        <w:tblStyle w:val="50"/>
        <w:tblW w:w="8379" w:type="dxa"/>
        <w:tblInd w:w="93" w:type="dxa"/>
        <w:tblLayout w:type="autofit"/>
        <w:tblCellMar>
          <w:top w:w="0" w:type="dxa"/>
          <w:left w:w="108" w:type="dxa"/>
          <w:bottom w:w="0" w:type="dxa"/>
          <w:right w:w="108" w:type="dxa"/>
        </w:tblCellMar>
      </w:tblPr>
      <w:tblGrid>
        <w:gridCol w:w="430"/>
        <w:gridCol w:w="1322"/>
        <w:gridCol w:w="1240"/>
        <w:gridCol w:w="1418"/>
        <w:gridCol w:w="850"/>
        <w:gridCol w:w="851"/>
        <w:gridCol w:w="1134"/>
        <w:gridCol w:w="1134"/>
      </w:tblGrid>
      <w:tr w14:paraId="0444D71F">
        <w:tblPrEx>
          <w:tblCellMar>
            <w:top w:w="0" w:type="dxa"/>
            <w:left w:w="108" w:type="dxa"/>
            <w:bottom w:w="0" w:type="dxa"/>
            <w:right w:w="108" w:type="dxa"/>
          </w:tblCellMar>
        </w:tblPrEx>
        <w:trPr>
          <w:trHeight w:val="668" w:hRule="atLeast"/>
        </w:trPr>
        <w:tc>
          <w:tcPr>
            <w:tcW w:w="2992" w:type="dxa"/>
            <w:gridSpan w:val="3"/>
            <w:tcBorders>
              <w:top w:val="nil"/>
              <w:left w:val="nil"/>
              <w:bottom w:val="nil"/>
              <w:right w:val="nil"/>
            </w:tcBorders>
            <w:shd w:val="clear" w:color="auto" w:fill="auto"/>
            <w:vAlign w:val="bottom"/>
          </w:tcPr>
          <w:p w14:paraId="4EB90FE0">
            <w:pPr>
              <w:widowControl/>
              <w:jc w:val="left"/>
              <w:rPr>
                <w:rFonts w:ascii="宋体" w:hAnsi="宋体" w:cs="宋体"/>
                <w:kern w:val="0"/>
                <w:sz w:val="20"/>
                <w:szCs w:val="20"/>
              </w:rPr>
            </w:pPr>
            <w:r>
              <w:rPr>
                <w:rFonts w:hint="eastAsia" w:ascii="宋体" w:hAnsi="宋体" w:cs="宋体"/>
                <w:kern w:val="0"/>
                <w:sz w:val="20"/>
                <w:szCs w:val="20"/>
              </w:rPr>
              <w:t>工程名称</w:t>
            </w:r>
            <w:r>
              <w:rPr>
                <w:rFonts w:ascii="宋体" w:hAnsi="宋体" w:cs="宋体"/>
                <w:kern w:val="0"/>
                <w:sz w:val="20"/>
                <w:szCs w:val="20"/>
              </w:rPr>
              <w:t xml:space="preserve">: </w:t>
            </w:r>
          </w:p>
        </w:tc>
        <w:tc>
          <w:tcPr>
            <w:tcW w:w="3119" w:type="dxa"/>
            <w:gridSpan w:val="3"/>
            <w:tcBorders>
              <w:top w:val="nil"/>
              <w:left w:val="nil"/>
              <w:bottom w:val="nil"/>
              <w:right w:val="nil"/>
            </w:tcBorders>
            <w:shd w:val="clear" w:color="auto" w:fill="auto"/>
            <w:vAlign w:val="bottom"/>
          </w:tcPr>
          <w:p w14:paraId="5562D8AA">
            <w:pPr>
              <w:widowControl/>
              <w:jc w:val="left"/>
              <w:rPr>
                <w:rFonts w:ascii="宋体" w:hAnsi="宋体" w:cs="宋体"/>
                <w:kern w:val="0"/>
                <w:sz w:val="20"/>
                <w:szCs w:val="20"/>
              </w:rPr>
            </w:pPr>
            <w:r>
              <w:rPr>
                <w:rFonts w:ascii="宋体" w:hAnsi="宋体" w:cs="宋体"/>
                <w:kern w:val="0"/>
                <w:sz w:val="20"/>
                <w:szCs w:val="20"/>
              </w:rPr>
              <w:t xml:space="preserve">        </w:t>
            </w:r>
          </w:p>
        </w:tc>
        <w:tc>
          <w:tcPr>
            <w:tcW w:w="2268" w:type="dxa"/>
            <w:gridSpan w:val="2"/>
            <w:tcBorders>
              <w:top w:val="nil"/>
              <w:left w:val="nil"/>
              <w:bottom w:val="nil"/>
              <w:right w:val="nil"/>
            </w:tcBorders>
            <w:shd w:val="clear" w:color="auto" w:fill="auto"/>
            <w:vAlign w:val="bottom"/>
          </w:tcPr>
          <w:p w14:paraId="5C17CBA8">
            <w:pPr>
              <w:widowControl/>
              <w:jc w:val="right"/>
              <w:rPr>
                <w:rFonts w:ascii="宋体" w:hAnsi="宋体" w:cs="宋体"/>
                <w:kern w:val="0"/>
                <w:sz w:val="20"/>
                <w:szCs w:val="20"/>
              </w:rPr>
            </w:pPr>
            <w:r>
              <w:rPr>
                <w:rFonts w:hint="eastAsia" w:ascii="宋体" w:hAnsi="宋体" w:cs="宋体"/>
                <w:kern w:val="0"/>
                <w:sz w:val="20"/>
                <w:szCs w:val="20"/>
              </w:rPr>
              <w:t>第</w:t>
            </w:r>
            <w:r>
              <w:rPr>
                <w:rFonts w:ascii="宋体" w:hAnsi="宋体" w:cs="宋体"/>
                <w:kern w:val="0"/>
                <w:sz w:val="20"/>
                <w:szCs w:val="20"/>
              </w:rPr>
              <w:t xml:space="preserve">1页 </w:t>
            </w:r>
            <w:r>
              <w:rPr>
                <w:rFonts w:hint="eastAsia" w:ascii="宋体" w:hAnsi="宋体" w:cs="宋体"/>
                <w:kern w:val="0"/>
                <w:sz w:val="20"/>
                <w:szCs w:val="20"/>
              </w:rPr>
              <w:t>共</w:t>
            </w:r>
            <w:r>
              <w:rPr>
                <w:rFonts w:ascii="宋体" w:hAnsi="宋体" w:cs="宋体"/>
                <w:kern w:val="0"/>
                <w:sz w:val="20"/>
                <w:szCs w:val="20"/>
              </w:rPr>
              <w:t>1页</w:t>
            </w:r>
          </w:p>
        </w:tc>
      </w:tr>
      <w:tr w14:paraId="52F9946E">
        <w:tblPrEx>
          <w:tblCellMar>
            <w:top w:w="0" w:type="dxa"/>
            <w:left w:w="108" w:type="dxa"/>
            <w:bottom w:w="0" w:type="dxa"/>
            <w:right w:w="108" w:type="dxa"/>
          </w:tblCellMar>
        </w:tblPrEx>
        <w:trPr>
          <w:trHeight w:val="372" w:hRule="atLeast"/>
        </w:trPr>
        <w:tc>
          <w:tcPr>
            <w:tcW w:w="430" w:type="dxa"/>
            <w:vMerge w:val="restart"/>
            <w:tcBorders>
              <w:top w:val="single" w:color="auto" w:sz="4" w:space="0"/>
              <w:left w:val="single" w:color="auto" w:sz="4" w:space="0"/>
              <w:bottom w:val="single" w:color="000000" w:sz="4" w:space="0"/>
              <w:right w:val="single" w:color="000000" w:sz="4" w:space="0"/>
            </w:tcBorders>
            <w:shd w:val="clear" w:color="000000" w:fill="FFFFFF"/>
            <w:noWrap/>
            <w:vAlign w:val="center"/>
          </w:tcPr>
          <w:p w14:paraId="197DCF71">
            <w:pPr>
              <w:widowControl/>
              <w:jc w:val="center"/>
              <w:rPr>
                <w:rFonts w:ascii="宋体" w:hAnsi="宋体" w:cs="宋体"/>
                <w:kern w:val="0"/>
                <w:sz w:val="20"/>
                <w:szCs w:val="20"/>
              </w:rPr>
            </w:pPr>
            <w:r>
              <w:rPr>
                <w:rFonts w:hint="eastAsia" w:ascii="宋体" w:hAnsi="宋体" w:cs="宋体"/>
                <w:kern w:val="0"/>
                <w:sz w:val="20"/>
                <w:szCs w:val="20"/>
              </w:rPr>
              <w:t>序号</w:t>
            </w:r>
          </w:p>
        </w:tc>
        <w:tc>
          <w:tcPr>
            <w:tcW w:w="1322"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14:paraId="01CB71B6">
            <w:pPr>
              <w:widowControl/>
              <w:jc w:val="center"/>
              <w:rPr>
                <w:rFonts w:ascii="宋体" w:hAnsi="宋体" w:cs="宋体"/>
                <w:kern w:val="0"/>
                <w:sz w:val="20"/>
                <w:szCs w:val="20"/>
              </w:rPr>
            </w:pPr>
            <w:r>
              <w:rPr>
                <w:rFonts w:hint="eastAsia" w:ascii="宋体" w:hAnsi="宋体" w:cs="宋体"/>
                <w:kern w:val="0"/>
                <w:sz w:val="20"/>
                <w:szCs w:val="20"/>
              </w:rPr>
              <w:t>项目编码</w:t>
            </w:r>
          </w:p>
        </w:tc>
        <w:tc>
          <w:tcPr>
            <w:tcW w:w="1240"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14:paraId="4945D0DD">
            <w:pPr>
              <w:widowControl/>
              <w:jc w:val="center"/>
              <w:rPr>
                <w:rFonts w:ascii="宋体" w:hAnsi="宋体" w:cs="宋体"/>
                <w:kern w:val="0"/>
                <w:sz w:val="20"/>
                <w:szCs w:val="20"/>
              </w:rPr>
            </w:pPr>
            <w:r>
              <w:rPr>
                <w:rFonts w:hint="eastAsia" w:ascii="宋体" w:hAnsi="宋体" w:cs="宋体"/>
                <w:kern w:val="0"/>
                <w:sz w:val="20"/>
                <w:szCs w:val="20"/>
              </w:rPr>
              <w:t>项目名称</w:t>
            </w:r>
          </w:p>
        </w:tc>
        <w:tc>
          <w:tcPr>
            <w:tcW w:w="1418"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14:paraId="612215D2">
            <w:pPr>
              <w:widowControl/>
              <w:jc w:val="center"/>
              <w:rPr>
                <w:rFonts w:ascii="宋体" w:hAnsi="宋体" w:cs="宋体"/>
                <w:kern w:val="0"/>
                <w:sz w:val="20"/>
                <w:szCs w:val="20"/>
              </w:rPr>
            </w:pPr>
            <w:r>
              <w:rPr>
                <w:rFonts w:hint="eastAsia" w:ascii="宋体" w:hAnsi="宋体" w:cs="宋体"/>
                <w:kern w:val="0"/>
                <w:sz w:val="20"/>
                <w:szCs w:val="20"/>
              </w:rPr>
              <w:t>项目特征描述</w:t>
            </w:r>
          </w:p>
        </w:tc>
        <w:tc>
          <w:tcPr>
            <w:tcW w:w="850"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14:paraId="7DDA5065">
            <w:pPr>
              <w:widowControl/>
              <w:jc w:val="center"/>
              <w:rPr>
                <w:rFonts w:ascii="宋体" w:hAnsi="宋体" w:cs="宋体"/>
                <w:kern w:val="0"/>
                <w:sz w:val="20"/>
                <w:szCs w:val="20"/>
              </w:rPr>
            </w:pPr>
            <w:r>
              <w:rPr>
                <w:rFonts w:hint="eastAsia" w:ascii="宋体" w:hAnsi="宋体" w:cs="宋体"/>
                <w:kern w:val="0"/>
                <w:sz w:val="20"/>
                <w:szCs w:val="20"/>
              </w:rPr>
              <w:t>计量</w:t>
            </w:r>
            <w:r>
              <w:br w:type="textWrapping"/>
            </w:r>
            <w:r>
              <w:rPr>
                <w:rFonts w:hint="eastAsia" w:ascii="宋体" w:hAnsi="宋体" w:cs="宋体"/>
                <w:kern w:val="0"/>
                <w:sz w:val="20"/>
                <w:szCs w:val="20"/>
              </w:rPr>
              <w:t>单位</w:t>
            </w:r>
          </w:p>
        </w:tc>
        <w:tc>
          <w:tcPr>
            <w:tcW w:w="851" w:type="dxa"/>
            <w:vMerge w:val="restart"/>
            <w:tcBorders>
              <w:top w:val="single" w:color="auto" w:sz="4" w:space="0"/>
              <w:left w:val="single" w:color="000000" w:sz="4" w:space="0"/>
              <w:bottom w:val="single" w:color="000000" w:sz="4" w:space="0"/>
              <w:right w:val="single" w:color="000000" w:sz="4" w:space="0"/>
            </w:tcBorders>
            <w:shd w:val="clear" w:color="000000" w:fill="FFFFFF"/>
            <w:noWrap/>
            <w:vAlign w:val="center"/>
          </w:tcPr>
          <w:p w14:paraId="4B40CC80">
            <w:pPr>
              <w:widowControl/>
              <w:jc w:val="center"/>
              <w:rPr>
                <w:rFonts w:ascii="宋体" w:hAnsi="宋体" w:cs="宋体"/>
                <w:kern w:val="0"/>
                <w:sz w:val="20"/>
                <w:szCs w:val="20"/>
              </w:rPr>
            </w:pPr>
            <w:r>
              <w:rPr>
                <w:rFonts w:hint="eastAsia" w:ascii="宋体" w:hAnsi="宋体" w:cs="宋体"/>
                <w:kern w:val="0"/>
                <w:sz w:val="20"/>
                <w:szCs w:val="20"/>
              </w:rPr>
              <w:t>工程量</w:t>
            </w:r>
          </w:p>
        </w:tc>
        <w:tc>
          <w:tcPr>
            <w:tcW w:w="2268" w:type="dxa"/>
            <w:gridSpan w:val="2"/>
            <w:tcBorders>
              <w:top w:val="single" w:color="auto" w:sz="4" w:space="0"/>
              <w:left w:val="nil"/>
              <w:bottom w:val="single" w:color="000000" w:sz="4" w:space="0"/>
              <w:right w:val="single" w:color="000000" w:sz="4" w:space="0"/>
            </w:tcBorders>
            <w:shd w:val="clear" w:color="000000" w:fill="FFFFFF"/>
            <w:noWrap/>
            <w:vAlign w:val="center"/>
          </w:tcPr>
          <w:p w14:paraId="7239AD85">
            <w:pPr>
              <w:widowControl/>
              <w:jc w:val="center"/>
              <w:rPr>
                <w:rFonts w:ascii="宋体" w:hAnsi="宋体" w:cs="宋体"/>
                <w:kern w:val="0"/>
                <w:sz w:val="20"/>
                <w:szCs w:val="20"/>
              </w:rPr>
            </w:pPr>
            <w:r>
              <w:rPr>
                <w:rFonts w:hint="eastAsia" w:ascii="宋体" w:hAnsi="宋体" w:cs="宋体"/>
                <w:kern w:val="0"/>
                <w:sz w:val="20"/>
                <w:szCs w:val="20"/>
              </w:rPr>
              <w:t>金额</w:t>
            </w:r>
            <w:r>
              <w:rPr>
                <w:rFonts w:ascii="宋体" w:hAnsi="宋体" w:cs="宋体"/>
                <w:kern w:val="0"/>
                <w:sz w:val="20"/>
                <w:szCs w:val="20"/>
              </w:rPr>
              <w:t>(元)</w:t>
            </w:r>
          </w:p>
        </w:tc>
      </w:tr>
      <w:tr w14:paraId="2FEA09E0">
        <w:tblPrEx>
          <w:tblCellMar>
            <w:top w:w="0" w:type="dxa"/>
            <w:left w:w="108" w:type="dxa"/>
            <w:bottom w:w="0" w:type="dxa"/>
            <w:right w:w="108" w:type="dxa"/>
          </w:tblCellMar>
        </w:tblPrEx>
        <w:trPr>
          <w:trHeight w:val="372" w:hRule="atLeast"/>
        </w:trPr>
        <w:tc>
          <w:tcPr>
            <w:tcW w:w="430" w:type="dxa"/>
            <w:vMerge w:val="continue"/>
            <w:tcBorders>
              <w:top w:val="single" w:color="auto" w:sz="4" w:space="0"/>
              <w:left w:val="single" w:color="auto" w:sz="4" w:space="0"/>
              <w:bottom w:val="single" w:color="000000" w:sz="4" w:space="0"/>
              <w:right w:val="single" w:color="000000" w:sz="4" w:space="0"/>
            </w:tcBorders>
            <w:vAlign w:val="center"/>
          </w:tcPr>
          <w:p w14:paraId="20BF993A">
            <w:pPr>
              <w:widowControl/>
              <w:jc w:val="left"/>
              <w:rPr>
                <w:rFonts w:ascii="宋体" w:hAnsi="宋体" w:cs="宋体"/>
                <w:kern w:val="0"/>
                <w:sz w:val="20"/>
                <w:szCs w:val="20"/>
              </w:rPr>
            </w:pPr>
          </w:p>
        </w:tc>
        <w:tc>
          <w:tcPr>
            <w:tcW w:w="1322" w:type="dxa"/>
            <w:vMerge w:val="continue"/>
            <w:tcBorders>
              <w:top w:val="single" w:color="auto" w:sz="4" w:space="0"/>
              <w:left w:val="single" w:color="000000" w:sz="4" w:space="0"/>
              <w:bottom w:val="single" w:color="000000" w:sz="4" w:space="0"/>
              <w:right w:val="single" w:color="000000" w:sz="4" w:space="0"/>
            </w:tcBorders>
            <w:vAlign w:val="center"/>
          </w:tcPr>
          <w:p w14:paraId="3CF32076">
            <w:pPr>
              <w:widowControl/>
              <w:jc w:val="left"/>
              <w:rPr>
                <w:rFonts w:ascii="宋体" w:hAnsi="宋体" w:cs="宋体"/>
                <w:kern w:val="0"/>
                <w:sz w:val="20"/>
                <w:szCs w:val="20"/>
              </w:rPr>
            </w:pPr>
          </w:p>
        </w:tc>
        <w:tc>
          <w:tcPr>
            <w:tcW w:w="1240" w:type="dxa"/>
            <w:vMerge w:val="continue"/>
            <w:tcBorders>
              <w:top w:val="single" w:color="auto" w:sz="4" w:space="0"/>
              <w:left w:val="single" w:color="000000" w:sz="4" w:space="0"/>
              <w:bottom w:val="single" w:color="000000" w:sz="4" w:space="0"/>
              <w:right w:val="single" w:color="000000" w:sz="4" w:space="0"/>
            </w:tcBorders>
            <w:vAlign w:val="center"/>
          </w:tcPr>
          <w:p w14:paraId="3D00270B">
            <w:pPr>
              <w:widowControl/>
              <w:jc w:val="left"/>
              <w:rPr>
                <w:rFonts w:ascii="宋体" w:hAnsi="宋体" w:cs="宋体"/>
                <w:kern w:val="0"/>
                <w:sz w:val="20"/>
                <w:szCs w:val="20"/>
              </w:rPr>
            </w:pPr>
          </w:p>
        </w:tc>
        <w:tc>
          <w:tcPr>
            <w:tcW w:w="1418" w:type="dxa"/>
            <w:vMerge w:val="continue"/>
            <w:tcBorders>
              <w:top w:val="single" w:color="auto" w:sz="4" w:space="0"/>
              <w:left w:val="single" w:color="000000" w:sz="4" w:space="0"/>
              <w:bottom w:val="single" w:color="000000" w:sz="4" w:space="0"/>
              <w:right w:val="single" w:color="000000" w:sz="4" w:space="0"/>
            </w:tcBorders>
            <w:vAlign w:val="center"/>
          </w:tcPr>
          <w:p w14:paraId="03E24961">
            <w:pPr>
              <w:widowControl/>
              <w:jc w:val="left"/>
              <w:rPr>
                <w:rFonts w:ascii="宋体" w:hAnsi="宋体" w:cs="宋体"/>
                <w:kern w:val="0"/>
                <w:sz w:val="20"/>
                <w:szCs w:val="20"/>
              </w:rPr>
            </w:pPr>
          </w:p>
        </w:tc>
        <w:tc>
          <w:tcPr>
            <w:tcW w:w="850" w:type="dxa"/>
            <w:vMerge w:val="continue"/>
            <w:tcBorders>
              <w:top w:val="single" w:color="auto" w:sz="4" w:space="0"/>
              <w:left w:val="single" w:color="000000" w:sz="4" w:space="0"/>
              <w:bottom w:val="single" w:color="000000" w:sz="4" w:space="0"/>
              <w:right w:val="single" w:color="000000" w:sz="4" w:space="0"/>
            </w:tcBorders>
            <w:vAlign w:val="center"/>
          </w:tcPr>
          <w:p w14:paraId="46532EBC">
            <w:pPr>
              <w:widowControl/>
              <w:jc w:val="left"/>
              <w:rPr>
                <w:rFonts w:ascii="宋体" w:hAnsi="宋体" w:cs="宋体"/>
                <w:kern w:val="0"/>
                <w:sz w:val="20"/>
                <w:szCs w:val="20"/>
              </w:rPr>
            </w:pPr>
          </w:p>
        </w:tc>
        <w:tc>
          <w:tcPr>
            <w:tcW w:w="851" w:type="dxa"/>
            <w:vMerge w:val="continue"/>
            <w:tcBorders>
              <w:top w:val="single" w:color="auto" w:sz="4" w:space="0"/>
              <w:left w:val="single" w:color="000000" w:sz="4" w:space="0"/>
              <w:bottom w:val="single" w:color="000000" w:sz="4" w:space="0"/>
              <w:right w:val="single" w:color="000000" w:sz="4" w:space="0"/>
            </w:tcBorders>
            <w:vAlign w:val="center"/>
          </w:tcPr>
          <w:p w14:paraId="2AF24427">
            <w:pPr>
              <w:widowControl/>
              <w:jc w:val="left"/>
              <w:rPr>
                <w:rFonts w:ascii="宋体" w:hAnsi="宋体" w:cs="宋体"/>
                <w:kern w:val="0"/>
                <w:sz w:val="20"/>
                <w:szCs w:val="20"/>
              </w:rPr>
            </w:pPr>
          </w:p>
        </w:tc>
        <w:tc>
          <w:tcPr>
            <w:tcW w:w="1134" w:type="dxa"/>
            <w:tcBorders>
              <w:top w:val="nil"/>
              <w:left w:val="nil"/>
              <w:bottom w:val="single" w:color="000000" w:sz="4" w:space="0"/>
              <w:right w:val="single" w:color="000000" w:sz="4" w:space="0"/>
            </w:tcBorders>
            <w:shd w:val="clear" w:color="000000" w:fill="FFFFFF"/>
            <w:noWrap/>
            <w:vAlign w:val="center"/>
          </w:tcPr>
          <w:p w14:paraId="032F7729">
            <w:pPr>
              <w:widowControl/>
              <w:jc w:val="center"/>
              <w:rPr>
                <w:rFonts w:ascii="宋体" w:hAnsi="宋体" w:cs="宋体"/>
                <w:kern w:val="0"/>
                <w:sz w:val="20"/>
                <w:szCs w:val="20"/>
              </w:rPr>
            </w:pPr>
            <w:r>
              <w:rPr>
                <w:rFonts w:hint="eastAsia" w:ascii="宋体" w:hAnsi="宋体" w:cs="宋体"/>
                <w:kern w:val="0"/>
                <w:sz w:val="20"/>
                <w:szCs w:val="20"/>
              </w:rPr>
              <w:t>综合单价</w:t>
            </w:r>
          </w:p>
        </w:tc>
        <w:tc>
          <w:tcPr>
            <w:tcW w:w="1134" w:type="dxa"/>
            <w:tcBorders>
              <w:top w:val="nil"/>
              <w:left w:val="nil"/>
              <w:bottom w:val="single" w:color="000000" w:sz="4" w:space="0"/>
              <w:right w:val="single" w:color="auto" w:sz="4" w:space="0"/>
            </w:tcBorders>
            <w:shd w:val="clear" w:color="000000" w:fill="FFFFFF"/>
            <w:noWrap/>
            <w:vAlign w:val="center"/>
          </w:tcPr>
          <w:p w14:paraId="52CBB593">
            <w:pPr>
              <w:widowControl/>
              <w:jc w:val="center"/>
              <w:rPr>
                <w:rFonts w:ascii="宋体" w:hAnsi="宋体" w:cs="宋体"/>
                <w:kern w:val="0"/>
                <w:sz w:val="20"/>
                <w:szCs w:val="20"/>
              </w:rPr>
            </w:pPr>
            <w:r>
              <w:rPr>
                <w:rFonts w:hint="eastAsia" w:ascii="宋体" w:hAnsi="宋体" w:cs="宋体"/>
                <w:kern w:val="0"/>
                <w:sz w:val="20"/>
                <w:szCs w:val="20"/>
              </w:rPr>
              <w:t>合价</w:t>
            </w:r>
          </w:p>
        </w:tc>
      </w:tr>
      <w:tr w14:paraId="4ACD9245">
        <w:tblPrEx>
          <w:tblCellMar>
            <w:top w:w="0" w:type="dxa"/>
            <w:left w:w="108" w:type="dxa"/>
            <w:bottom w:w="0" w:type="dxa"/>
            <w:right w:w="108" w:type="dxa"/>
          </w:tblCellMar>
        </w:tblPrEx>
        <w:trPr>
          <w:trHeight w:val="462" w:hRule="atLeast"/>
        </w:trPr>
        <w:tc>
          <w:tcPr>
            <w:tcW w:w="4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462F72">
            <w:pPr>
              <w:widowControl/>
              <w:jc w:val="left"/>
              <w:rPr>
                <w:rFonts w:ascii="宋体" w:hAnsi="宋体" w:cs="宋体"/>
                <w:kern w:val="0"/>
                <w:sz w:val="20"/>
                <w:szCs w:val="20"/>
              </w:rPr>
            </w:pPr>
          </w:p>
        </w:tc>
        <w:tc>
          <w:tcPr>
            <w:tcW w:w="1322" w:type="dxa"/>
            <w:tcBorders>
              <w:top w:val="single" w:color="auto" w:sz="4" w:space="0"/>
              <w:left w:val="nil"/>
              <w:bottom w:val="single" w:color="auto" w:sz="4" w:space="0"/>
              <w:right w:val="single" w:color="auto" w:sz="4" w:space="0"/>
            </w:tcBorders>
            <w:shd w:val="clear" w:color="auto" w:fill="auto"/>
            <w:noWrap/>
            <w:vAlign w:val="center"/>
          </w:tcPr>
          <w:p w14:paraId="2CC18135">
            <w:pPr>
              <w:widowControl/>
              <w:jc w:val="left"/>
              <w:rPr>
                <w:rFonts w:ascii="宋体" w:hAnsi="宋体" w:cs="宋体"/>
                <w:kern w:val="0"/>
                <w:sz w:val="20"/>
                <w:szCs w:val="20"/>
              </w:rPr>
            </w:pPr>
          </w:p>
        </w:tc>
        <w:tc>
          <w:tcPr>
            <w:tcW w:w="1240" w:type="dxa"/>
            <w:tcBorders>
              <w:top w:val="single" w:color="auto" w:sz="4" w:space="0"/>
              <w:left w:val="nil"/>
              <w:bottom w:val="single" w:color="auto" w:sz="4" w:space="0"/>
              <w:right w:val="single" w:color="auto" w:sz="4" w:space="0"/>
            </w:tcBorders>
            <w:shd w:val="clear" w:color="auto" w:fill="auto"/>
            <w:noWrap/>
            <w:vAlign w:val="center"/>
          </w:tcPr>
          <w:p w14:paraId="25ADFFF7">
            <w:pPr>
              <w:widowControl/>
              <w:jc w:val="left"/>
              <w:rPr>
                <w:rFonts w:ascii="宋体" w:hAnsi="宋体" w:cs="宋体"/>
                <w:kern w:val="0"/>
                <w:sz w:val="20"/>
                <w:szCs w:val="20"/>
              </w:rPr>
            </w:pPr>
          </w:p>
        </w:tc>
        <w:tc>
          <w:tcPr>
            <w:tcW w:w="1418" w:type="dxa"/>
            <w:tcBorders>
              <w:top w:val="single" w:color="auto" w:sz="4" w:space="0"/>
              <w:left w:val="nil"/>
              <w:bottom w:val="single" w:color="auto" w:sz="4" w:space="0"/>
              <w:right w:val="single" w:color="auto" w:sz="4" w:space="0"/>
            </w:tcBorders>
            <w:shd w:val="clear" w:color="auto" w:fill="auto"/>
            <w:noWrap/>
            <w:vAlign w:val="center"/>
          </w:tcPr>
          <w:p w14:paraId="4D8AC3BF">
            <w:pPr>
              <w:widowControl/>
              <w:jc w:val="left"/>
              <w:rPr>
                <w:rFonts w:ascii="宋体" w:hAnsi="宋体" w:cs="宋体"/>
                <w:kern w:val="0"/>
                <w:sz w:val="20"/>
                <w:szCs w:val="20"/>
              </w:rPr>
            </w:pPr>
          </w:p>
        </w:tc>
        <w:tc>
          <w:tcPr>
            <w:tcW w:w="850" w:type="dxa"/>
            <w:tcBorders>
              <w:top w:val="single" w:color="auto" w:sz="4" w:space="0"/>
              <w:left w:val="nil"/>
              <w:bottom w:val="single" w:color="auto" w:sz="4" w:space="0"/>
              <w:right w:val="single" w:color="auto" w:sz="4" w:space="0"/>
            </w:tcBorders>
            <w:shd w:val="clear" w:color="auto" w:fill="auto"/>
            <w:noWrap/>
            <w:vAlign w:val="center"/>
          </w:tcPr>
          <w:p w14:paraId="3401FA36">
            <w:pPr>
              <w:widowControl/>
              <w:jc w:val="left"/>
              <w:rPr>
                <w:rFonts w:ascii="宋体" w:hAnsi="宋体" w:cs="宋体"/>
                <w:kern w:val="0"/>
                <w:sz w:val="20"/>
                <w:szCs w:val="20"/>
              </w:rPr>
            </w:pPr>
          </w:p>
        </w:tc>
        <w:tc>
          <w:tcPr>
            <w:tcW w:w="851" w:type="dxa"/>
            <w:tcBorders>
              <w:top w:val="single" w:color="auto" w:sz="4" w:space="0"/>
              <w:left w:val="nil"/>
              <w:bottom w:val="single" w:color="auto" w:sz="4" w:space="0"/>
              <w:right w:val="single" w:color="auto" w:sz="4" w:space="0"/>
            </w:tcBorders>
            <w:shd w:val="clear" w:color="auto" w:fill="auto"/>
            <w:noWrap/>
            <w:vAlign w:val="center"/>
          </w:tcPr>
          <w:p w14:paraId="18BF71DE">
            <w:pPr>
              <w:widowControl/>
              <w:jc w:val="left"/>
              <w:rPr>
                <w:rFonts w:ascii="宋体" w:hAnsi="宋体" w:cs="宋体"/>
                <w:kern w:val="0"/>
                <w:sz w:val="20"/>
                <w:szCs w:val="20"/>
              </w:rPr>
            </w:pP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6D264596">
            <w:pPr>
              <w:widowControl/>
              <w:jc w:val="left"/>
              <w:rPr>
                <w:rFonts w:ascii="宋体" w:hAnsi="宋体" w:cs="宋体"/>
                <w:kern w:val="0"/>
                <w:sz w:val="20"/>
                <w:szCs w:val="20"/>
              </w:rPr>
            </w:pP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6CE258D7">
            <w:pPr>
              <w:widowControl/>
              <w:jc w:val="left"/>
              <w:rPr>
                <w:rFonts w:ascii="宋体" w:hAnsi="宋体" w:cs="宋体"/>
                <w:kern w:val="0"/>
                <w:sz w:val="20"/>
                <w:szCs w:val="20"/>
              </w:rPr>
            </w:pPr>
          </w:p>
        </w:tc>
      </w:tr>
      <w:tr w14:paraId="4200B164">
        <w:tblPrEx>
          <w:tblCellMar>
            <w:top w:w="0" w:type="dxa"/>
            <w:left w:w="108" w:type="dxa"/>
            <w:bottom w:w="0" w:type="dxa"/>
            <w:right w:w="108" w:type="dxa"/>
          </w:tblCellMar>
        </w:tblPrEx>
        <w:trPr>
          <w:trHeight w:val="462" w:hRule="atLeast"/>
        </w:trPr>
        <w:tc>
          <w:tcPr>
            <w:tcW w:w="430" w:type="dxa"/>
            <w:tcBorders>
              <w:top w:val="nil"/>
              <w:left w:val="single" w:color="auto" w:sz="4" w:space="0"/>
              <w:bottom w:val="single" w:color="auto" w:sz="4" w:space="0"/>
              <w:right w:val="single" w:color="auto" w:sz="4" w:space="0"/>
            </w:tcBorders>
            <w:shd w:val="clear" w:color="auto" w:fill="auto"/>
            <w:noWrap/>
            <w:vAlign w:val="center"/>
          </w:tcPr>
          <w:p w14:paraId="676919E4">
            <w:pPr>
              <w:widowControl/>
              <w:jc w:val="left"/>
              <w:rPr>
                <w:rFonts w:ascii="宋体" w:hAnsi="宋体" w:cs="宋体"/>
                <w:kern w:val="0"/>
                <w:sz w:val="20"/>
                <w:szCs w:val="20"/>
              </w:rPr>
            </w:pPr>
          </w:p>
        </w:tc>
        <w:tc>
          <w:tcPr>
            <w:tcW w:w="1322" w:type="dxa"/>
            <w:tcBorders>
              <w:top w:val="nil"/>
              <w:left w:val="nil"/>
              <w:bottom w:val="single" w:color="auto" w:sz="4" w:space="0"/>
              <w:right w:val="single" w:color="auto" w:sz="4" w:space="0"/>
            </w:tcBorders>
            <w:shd w:val="clear" w:color="auto" w:fill="auto"/>
            <w:noWrap/>
            <w:vAlign w:val="center"/>
          </w:tcPr>
          <w:p w14:paraId="5D5179A7">
            <w:pPr>
              <w:widowControl/>
              <w:jc w:val="left"/>
              <w:rPr>
                <w:rFonts w:ascii="宋体" w:hAnsi="宋体" w:cs="宋体"/>
                <w:kern w:val="0"/>
                <w:sz w:val="20"/>
                <w:szCs w:val="20"/>
              </w:rPr>
            </w:pPr>
          </w:p>
        </w:tc>
        <w:tc>
          <w:tcPr>
            <w:tcW w:w="1240" w:type="dxa"/>
            <w:tcBorders>
              <w:top w:val="nil"/>
              <w:left w:val="nil"/>
              <w:bottom w:val="single" w:color="auto" w:sz="4" w:space="0"/>
              <w:right w:val="single" w:color="auto" w:sz="4" w:space="0"/>
            </w:tcBorders>
            <w:shd w:val="clear" w:color="auto" w:fill="auto"/>
            <w:noWrap/>
            <w:vAlign w:val="center"/>
          </w:tcPr>
          <w:p w14:paraId="61E9F73D">
            <w:pPr>
              <w:widowControl/>
              <w:jc w:val="left"/>
              <w:rPr>
                <w:rFonts w:ascii="宋体" w:hAnsi="宋体" w:cs="宋体"/>
                <w:kern w:val="0"/>
                <w:sz w:val="20"/>
                <w:szCs w:val="20"/>
              </w:rPr>
            </w:pPr>
          </w:p>
        </w:tc>
        <w:tc>
          <w:tcPr>
            <w:tcW w:w="1418" w:type="dxa"/>
            <w:tcBorders>
              <w:top w:val="nil"/>
              <w:left w:val="nil"/>
              <w:bottom w:val="single" w:color="auto" w:sz="4" w:space="0"/>
              <w:right w:val="single" w:color="auto" w:sz="4" w:space="0"/>
            </w:tcBorders>
            <w:shd w:val="clear" w:color="auto" w:fill="auto"/>
            <w:noWrap/>
            <w:vAlign w:val="center"/>
          </w:tcPr>
          <w:p w14:paraId="1A8199B6">
            <w:pPr>
              <w:widowControl/>
              <w:jc w:val="left"/>
              <w:rPr>
                <w:rFonts w:ascii="宋体" w:hAnsi="宋体" w:cs="宋体"/>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14:paraId="420BCA1A">
            <w:pPr>
              <w:widowControl/>
              <w:jc w:val="left"/>
              <w:rPr>
                <w:rFonts w:ascii="宋体" w:hAnsi="宋体" w:cs="宋体"/>
                <w:kern w:val="0"/>
                <w:sz w:val="20"/>
                <w:szCs w:val="20"/>
              </w:rPr>
            </w:pPr>
          </w:p>
        </w:tc>
        <w:tc>
          <w:tcPr>
            <w:tcW w:w="851" w:type="dxa"/>
            <w:tcBorders>
              <w:top w:val="nil"/>
              <w:left w:val="nil"/>
              <w:bottom w:val="single" w:color="auto" w:sz="4" w:space="0"/>
              <w:right w:val="single" w:color="auto" w:sz="4" w:space="0"/>
            </w:tcBorders>
            <w:shd w:val="clear" w:color="auto" w:fill="auto"/>
            <w:noWrap/>
            <w:vAlign w:val="center"/>
          </w:tcPr>
          <w:p w14:paraId="28939713">
            <w:pPr>
              <w:widowControl/>
              <w:jc w:val="left"/>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19915B07">
            <w:pPr>
              <w:widowControl/>
              <w:jc w:val="left"/>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0FB16054">
            <w:pPr>
              <w:widowControl/>
              <w:jc w:val="left"/>
              <w:rPr>
                <w:rFonts w:ascii="宋体" w:hAnsi="宋体" w:cs="宋体"/>
                <w:kern w:val="0"/>
                <w:sz w:val="20"/>
                <w:szCs w:val="20"/>
              </w:rPr>
            </w:pPr>
          </w:p>
        </w:tc>
      </w:tr>
      <w:tr w14:paraId="68017D5B">
        <w:tblPrEx>
          <w:tblCellMar>
            <w:top w:w="0" w:type="dxa"/>
            <w:left w:w="108" w:type="dxa"/>
            <w:bottom w:w="0" w:type="dxa"/>
            <w:right w:w="108" w:type="dxa"/>
          </w:tblCellMar>
        </w:tblPrEx>
        <w:trPr>
          <w:trHeight w:val="462" w:hRule="atLeast"/>
        </w:trPr>
        <w:tc>
          <w:tcPr>
            <w:tcW w:w="430" w:type="dxa"/>
            <w:tcBorders>
              <w:top w:val="nil"/>
              <w:left w:val="single" w:color="auto" w:sz="4" w:space="0"/>
              <w:bottom w:val="single" w:color="auto" w:sz="4" w:space="0"/>
              <w:right w:val="single" w:color="auto" w:sz="4" w:space="0"/>
            </w:tcBorders>
            <w:shd w:val="clear" w:color="auto" w:fill="auto"/>
            <w:noWrap/>
            <w:vAlign w:val="center"/>
          </w:tcPr>
          <w:p w14:paraId="12A88973">
            <w:pPr>
              <w:widowControl/>
              <w:jc w:val="left"/>
              <w:rPr>
                <w:rFonts w:ascii="宋体" w:hAnsi="宋体" w:cs="宋体"/>
                <w:kern w:val="0"/>
                <w:sz w:val="20"/>
                <w:szCs w:val="20"/>
              </w:rPr>
            </w:pPr>
          </w:p>
        </w:tc>
        <w:tc>
          <w:tcPr>
            <w:tcW w:w="1322" w:type="dxa"/>
            <w:tcBorders>
              <w:top w:val="nil"/>
              <w:left w:val="nil"/>
              <w:bottom w:val="single" w:color="auto" w:sz="4" w:space="0"/>
              <w:right w:val="single" w:color="auto" w:sz="4" w:space="0"/>
            </w:tcBorders>
            <w:shd w:val="clear" w:color="auto" w:fill="auto"/>
            <w:noWrap/>
            <w:vAlign w:val="center"/>
          </w:tcPr>
          <w:p w14:paraId="60D94E35">
            <w:pPr>
              <w:widowControl/>
              <w:jc w:val="left"/>
              <w:rPr>
                <w:rFonts w:ascii="宋体" w:hAnsi="宋体" w:cs="宋体"/>
                <w:kern w:val="0"/>
                <w:sz w:val="20"/>
                <w:szCs w:val="20"/>
              </w:rPr>
            </w:pPr>
          </w:p>
        </w:tc>
        <w:tc>
          <w:tcPr>
            <w:tcW w:w="1240" w:type="dxa"/>
            <w:tcBorders>
              <w:top w:val="nil"/>
              <w:left w:val="nil"/>
              <w:bottom w:val="single" w:color="auto" w:sz="4" w:space="0"/>
              <w:right w:val="single" w:color="auto" w:sz="4" w:space="0"/>
            </w:tcBorders>
            <w:shd w:val="clear" w:color="auto" w:fill="auto"/>
            <w:noWrap/>
            <w:vAlign w:val="center"/>
          </w:tcPr>
          <w:p w14:paraId="08677616">
            <w:pPr>
              <w:widowControl/>
              <w:jc w:val="left"/>
              <w:rPr>
                <w:rFonts w:ascii="宋体" w:hAnsi="宋体" w:cs="宋体"/>
                <w:kern w:val="0"/>
                <w:sz w:val="20"/>
                <w:szCs w:val="20"/>
              </w:rPr>
            </w:pPr>
          </w:p>
        </w:tc>
        <w:tc>
          <w:tcPr>
            <w:tcW w:w="1418" w:type="dxa"/>
            <w:tcBorders>
              <w:top w:val="nil"/>
              <w:left w:val="nil"/>
              <w:bottom w:val="single" w:color="auto" w:sz="4" w:space="0"/>
              <w:right w:val="single" w:color="auto" w:sz="4" w:space="0"/>
            </w:tcBorders>
            <w:shd w:val="clear" w:color="auto" w:fill="auto"/>
            <w:noWrap/>
            <w:vAlign w:val="center"/>
          </w:tcPr>
          <w:p w14:paraId="544C84A9">
            <w:pPr>
              <w:widowControl/>
              <w:jc w:val="left"/>
              <w:rPr>
                <w:rFonts w:ascii="宋体" w:hAnsi="宋体" w:cs="宋体"/>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14:paraId="488F85B9">
            <w:pPr>
              <w:widowControl/>
              <w:jc w:val="left"/>
              <w:rPr>
                <w:rFonts w:ascii="宋体" w:hAnsi="宋体" w:cs="宋体"/>
                <w:kern w:val="0"/>
                <w:sz w:val="20"/>
                <w:szCs w:val="20"/>
              </w:rPr>
            </w:pPr>
          </w:p>
        </w:tc>
        <w:tc>
          <w:tcPr>
            <w:tcW w:w="851" w:type="dxa"/>
            <w:tcBorders>
              <w:top w:val="nil"/>
              <w:left w:val="nil"/>
              <w:bottom w:val="single" w:color="auto" w:sz="4" w:space="0"/>
              <w:right w:val="single" w:color="auto" w:sz="4" w:space="0"/>
            </w:tcBorders>
            <w:shd w:val="clear" w:color="auto" w:fill="auto"/>
            <w:noWrap/>
            <w:vAlign w:val="center"/>
          </w:tcPr>
          <w:p w14:paraId="3825D0C2">
            <w:pPr>
              <w:widowControl/>
              <w:jc w:val="left"/>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67B8AE17">
            <w:pPr>
              <w:widowControl/>
              <w:jc w:val="left"/>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51196DB6">
            <w:pPr>
              <w:widowControl/>
              <w:jc w:val="left"/>
              <w:rPr>
                <w:rFonts w:ascii="宋体" w:hAnsi="宋体" w:cs="宋体"/>
                <w:kern w:val="0"/>
                <w:sz w:val="20"/>
                <w:szCs w:val="20"/>
              </w:rPr>
            </w:pPr>
          </w:p>
        </w:tc>
      </w:tr>
      <w:tr w14:paraId="2DB56FE5">
        <w:trPr>
          <w:trHeight w:val="462" w:hRule="atLeast"/>
        </w:trPr>
        <w:tc>
          <w:tcPr>
            <w:tcW w:w="7245"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14:paraId="0254E668">
            <w:pPr>
              <w:widowControl/>
              <w:jc w:val="center"/>
              <w:rPr>
                <w:rFonts w:ascii="宋体" w:hAnsi="宋体" w:cs="宋体"/>
                <w:kern w:val="0"/>
                <w:sz w:val="20"/>
                <w:szCs w:val="20"/>
              </w:rPr>
            </w:pPr>
            <w:r>
              <w:rPr>
                <w:rFonts w:hint="eastAsia" w:ascii="宋体" w:hAnsi="宋体" w:cs="宋体"/>
                <w:kern w:val="0"/>
                <w:sz w:val="20"/>
                <w:szCs w:val="20"/>
              </w:rPr>
              <w:t>本页小计</w:t>
            </w:r>
          </w:p>
        </w:tc>
        <w:tc>
          <w:tcPr>
            <w:tcW w:w="1134" w:type="dxa"/>
            <w:tcBorders>
              <w:top w:val="nil"/>
              <w:left w:val="nil"/>
              <w:bottom w:val="single" w:color="auto" w:sz="4" w:space="0"/>
              <w:right w:val="single" w:color="auto" w:sz="4" w:space="0"/>
            </w:tcBorders>
            <w:shd w:val="clear" w:color="auto" w:fill="auto"/>
            <w:noWrap/>
            <w:vAlign w:val="center"/>
          </w:tcPr>
          <w:p w14:paraId="205B2C63">
            <w:pPr>
              <w:widowControl/>
              <w:jc w:val="right"/>
              <w:rPr>
                <w:rFonts w:ascii="宋体" w:hAnsi="宋体" w:cs="宋体"/>
                <w:kern w:val="0"/>
                <w:sz w:val="20"/>
                <w:szCs w:val="20"/>
              </w:rPr>
            </w:pPr>
            <w:r>
              <w:rPr>
                <w:rFonts w:hint="eastAsia" w:ascii="宋体" w:hAnsi="宋体" w:cs="宋体"/>
                <w:kern w:val="0"/>
                <w:sz w:val="20"/>
                <w:szCs w:val="20"/>
              </w:rPr>
              <w:t>　</w:t>
            </w:r>
          </w:p>
        </w:tc>
      </w:tr>
      <w:tr w14:paraId="275E9AD9">
        <w:tblPrEx>
          <w:tblCellMar>
            <w:top w:w="0" w:type="dxa"/>
            <w:left w:w="108" w:type="dxa"/>
            <w:bottom w:w="0" w:type="dxa"/>
            <w:right w:w="108" w:type="dxa"/>
          </w:tblCellMar>
        </w:tblPrEx>
        <w:trPr>
          <w:trHeight w:val="462" w:hRule="atLeast"/>
        </w:trPr>
        <w:tc>
          <w:tcPr>
            <w:tcW w:w="7245" w:type="dxa"/>
            <w:gridSpan w:val="7"/>
            <w:tcBorders>
              <w:top w:val="single" w:color="auto" w:sz="4" w:space="0"/>
              <w:left w:val="single" w:color="auto" w:sz="4" w:space="0"/>
              <w:bottom w:val="single" w:color="auto" w:sz="4" w:space="0"/>
              <w:right w:val="single" w:color="000000" w:sz="4" w:space="0"/>
            </w:tcBorders>
            <w:shd w:val="clear" w:color="000000" w:fill="FFFFFF"/>
            <w:vAlign w:val="center"/>
          </w:tcPr>
          <w:p w14:paraId="35CA7EA3">
            <w:pPr>
              <w:widowControl/>
              <w:jc w:val="center"/>
              <w:rPr>
                <w:rFonts w:ascii="宋体" w:hAnsi="宋体" w:cs="宋体"/>
                <w:kern w:val="0"/>
                <w:sz w:val="18"/>
                <w:szCs w:val="18"/>
              </w:rPr>
            </w:pPr>
            <w:r>
              <w:rPr>
                <w:rFonts w:ascii="宋体" w:hAnsi="宋体" w:cs="宋体"/>
                <w:kern w:val="0"/>
                <w:sz w:val="18"/>
                <w:szCs w:val="18"/>
              </w:rPr>
              <w:t xml:space="preserve">   合  计</w:t>
            </w:r>
          </w:p>
        </w:tc>
        <w:tc>
          <w:tcPr>
            <w:tcW w:w="1134" w:type="dxa"/>
            <w:tcBorders>
              <w:top w:val="nil"/>
              <w:left w:val="nil"/>
              <w:bottom w:val="single" w:color="auto" w:sz="4" w:space="0"/>
              <w:right w:val="single" w:color="auto" w:sz="4" w:space="0"/>
            </w:tcBorders>
            <w:shd w:val="clear" w:color="000000" w:fill="FFFFFF"/>
            <w:noWrap/>
            <w:vAlign w:val="center"/>
          </w:tcPr>
          <w:p w14:paraId="49319E7A">
            <w:pPr>
              <w:widowControl/>
              <w:jc w:val="right"/>
              <w:rPr>
                <w:rFonts w:ascii="宋体" w:hAnsi="宋体" w:cs="宋体"/>
                <w:kern w:val="0"/>
                <w:sz w:val="18"/>
                <w:szCs w:val="18"/>
              </w:rPr>
            </w:pPr>
            <w:r>
              <w:rPr>
                <w:rFonts w:ascii="宋体" w:hAnsi="宋体" w:cs="宋体"/>
                <w:kern w:val="0"/>
                <w:sz w:val="18"/>
                <w:szCs w:val="18"/>
              </w:rPr>
              <w:t xml:space="preserve"> </w:t>
            </w:r>
          </w:p>
        </w:tc>
      </w:tr>
    </w:tbl>
    <w:p w14:paraId="67262B3B">
      <w:pPr>
        <w:keepNext/>
        <w:keepLines/>
        <w:spacing w:before="280" w:after="290" w:line="376" w:lineRule="auto"/>
        <w:outlineLvl w:val="3"/>
        <w:rPr>
          <w:rFonts w:ascii="Arial" w:hAnsi="Arial" w:eastAsia="黑体"/>
          <w:b/>
          <w:bCs/>
          <w:sz w:val="28"/>
          <w:szCs w:val="28"/>
        </w:rPr>
      </w:pPr>
      <w:r>
        <w:rPr>
          <w:rFonts w:hint="eastAsia" w:ascii="Arial" w:hAnsi="Arial" w:eastAsia="黑体"/>
          <w:b/>
          <w:bCs/>
          <w:sz w:val="28"/>
          <w:szCs w:val="28"/>
        </w:rPr>
        <w:t>（7）</w:t>
      </w:r>
      <w:r>
        <w:rPr>
          <w:rFonts w:hint="eastAsia" w:ascii="Arial" w:hAnsi="Arial" w:eastAsia="黑体"/>
          <w:b/>
          <w:bCs/>
          <w:kern w:val="0"/>
          <w:sz w:val="28"/>
          <w:szCs w:val="28"/>
        </w:rPr>
        <w:t>安全文明施工措施费详细清单与计价表</w:t>
      </w:r>
    </w:p>
    <w:tbl>
      <w:tblPr>
        <w:tblStyle w:val="50"/>
        <w:tblW w:w="8379" w:type="dxa"/>
        <w:tblInd w:w="93" w:type="dxa"/>
        <w:tblLayout w:type="autofit"/>
        <w:tblCellMar>
          <w:top w:w="0" w:type="dxa"/>
          <w:left w:w="108" w:type="dxa"/>
          <w:bottom w:w="0" w:type="dxa"/>
          <w:right w:w="108" w:type="dxa"/>
        </w:tblCellMar>
      </w:tblPr>
      <w:tblGrid>
        <w:gridCol w:w="416"/>
        <w:gridCol w:w="1300"/>
        <w:gridCol w:w="1276"/>
        <w:gridCol w:w="1418"/>
        <w:gridCol w:w="850"/>
        <w:gridCol w:w="851"/>
        <w:gridCol w:w="1134"/>
        <w:gridCol w:w="1134"/>
      </w:tblGrid>
      <w:tr w14:paraId="75720342">
        <w:tblPrEx>
          <w:tblCellMar>
            <w:top w:w="0" w:type="dxa"/>
            <w:left w:w="108" w:type="dxa"/>
            <w:bottom w:w="0" w:type="dxa"/>
            <w:right w:w="108" w:type="dxa"/>
          </w:tblCellMar>
        </w:tblPrEx>
        <w:trPr>
          <w:trHeight w:val="668" w:hRule="atLeast"/>
        </w:trPr>
        <w:tc>
          <w:tcPr>
            <w:tcW w:w="2992" w:type="dxa"/>
            <w:gridSpan w:val="3"/>
            <w:tcBorders>
              <w:top w:val="nil"/>
              <w:left w:val="nil"/>
              <w:bottom w:val="nil"/>
              <w:right w:val="nil"/>
            </w:tcBorders>
            <w:shd w:val="clear" w:color="auto" w:fill="auto"/>
            <w:vAlign w:val="bottom"/>
          </w:tcPr>
          <w:p w14:paraId="7193B862">
            <w:pPr>
              <w:widowControl/>
              <w:jc w:val="left"/>
              <w:rPr>
                <w:rFonts w:ascii="宋体" w:hAnsi="宋体" w:cs="宋体"/>
                <w:kern w:val="0"/>
                <w:sz w:val="20"/>
                <w:szCs w:val="20"/>
              </w:rPr>
            </w:pPr>
            <w:r>
              <w:rPr>
                <w:rFonts w:hint="eastAsia" w:ascii="宋体" w:hAnsi="宋体" w:cs="宋体"/>
                <w:kern w:val="0"/>
                <w:sz w:val="20"/>
                <w:szCs w:val="20"/>
              </w:rPr>
              <w:t>工程名称</w:t>
            </w:r>
            <w:r>
              <w:rPr>
                <w:rFonts w:ascii="宋体" w:hAnsi="宋体" w:cs="宋体"/>
                <w:kern w:val="0"/>
                <w:sz w:val="20"/>
                <w:szCs w:val="20"/>
              </w:rPr>
              <w:t xml:space="preserve">: </w:t>
            </w:r>
          </w:p>
        </w:tc>
        <w:tc>
          <w:tcPr>
            <w:tcW w:w="3119" w:type="dxa"/>
            <w:gridSpan w:val="3"/>
            <w:tcBorders>
              <w:top w:val="nil"/>
              <w:left w:val="nil"/>
              <w:bottom w:val="nil"/>
              <w:right w:val="nil"/>
            </w:tcBorders>
            <w:shd w:val="clear" w:color="auto" w:fill="auto"/>
            <w:vAlign w:val="bottom"/>
          </w:tcPr>
          <w:p w14:paraId="08D078DC">
            <w:pPr>
              <w:widowControl/>
              <w:jc w:val="left"/>
              <w:rPr>
                <w:rFonts w:ascii="宋体" w:hAnsi="宋体" w:cs="宋体"/>
                <w:kern w:val="0"/>
                <w:sz w:val="20"/>
                <w:szCs w:val="20"/>
              </w:rPr>
            </w:pPr>
            <w:r>
              <w:rPr>
                <w:rFonts w:ascii="宋体" w:hAnsi="宋体" w:cs="宋体"/>
                <w:kern w:val="0"/>
                <w:sz w:val="20"/>
                <w:szCs w:val="20"/>
              </w:rPr>
              <w:t xml:space="preserve">       </w:t>
            </w:r>
          </w:p>
        </w:tc>
        <w:tc>
          <w:tcPr>
            <w:tcW w:w="2268" w:type="dxa"/>
            <w:gridSpan w:val="2"/>
            <w:tcBorders>
              <w:top w:val="nil"/>
              <w:left w:val="nil"/>
              <w:bottom w:val="nil"/>
              <w:right w:val="nil"/>
            </w:tcBorders>
            <w:shd w:val="clear" w:color="auto" w:fill="auto"/>
            <w:vAlign w:val="bottom"/>
          </w:tcPr>
          <w:p w14:paraId="51746C69">
            <w:pPr>
              <w:widowControl/>
              <w:jc w:val="right"/>
              <w:rPr>
                <w:rFonts w:ascii="宋体" w:hAnsi="宋体" w:cs="宋体"/>
                <w:kern w:val="0"/>
                <w:sz w:val="20"/>
                <w:szCs w:val="20"/>
              </w:rPr>
            </w:pPr>
            <w:r>
              <w:rPr>
                <w:rFonts w:hint="eastAsia" w:ascii="宋体" w:hAnsi="宋体" w:cs="宋体"/>
                <w:kern w:val="0"/>
                <w:sz w:val="20"/>
                <w:szCs w:val="20"/>
              </w:rPr>
              <w:t>第</w:t>
            </w:r>
            <w:r>
              <w:rPr>
                <w:rFonts w:ascii="宋体" w:hAnsi="宋体" w:cs="宋体"/>
                <w:kern w:val="0"/>
                <w:sz w:val="20"/>
                <w:szCs w:val="20"/>
              </w:rPr>
              <w:t xml:space="preserve">1页 </w:t>
            </w:r>
            <w:r>
              <w:rPr>
                <w:rFonts w:hint="eastAsia" w:ascii="宋体" w:hAnsi="宋体" w:cs="宋体"/>
                <w:kern w:val="0"/>
                <w:sz w:val="20"/>
                <w:szCs w:val="20"/>
              </w:rPr>
              <w:t>共</w:t>
            </w:r>
            <w:r>
              <w:rPr>
                <w:rFonts w:ascii="宋体" w:hAnsi="宋体" w:cs="宋体"/>
                <w:kern w:val="0"/>
                <w:sz w:val="20"/>
                <w:szCs w:val="20"/>
              </w:rPr>
              <w:t>1页</w:t>
            </w:r>
          </w:p>
        </w:tc>
      </w:tr>
      <w:tr w14:paraId="60AD19BA">
        <w:tblPrEx>
          <w:tblCellMar>
            <w:top w:w="0" w:type="dxa"/>
            <w:left w:w="108" w:type="dxa"/>
            <w:bottom w:w="0" w:type="dxa"/>
            <w:right w:w="108" w:type="dxa"/>
          </w:tblCellMar>
        </w:tblPrEx>
        <w:trPr>
          <w:trHeight w:val="372" w:hRule="atLeast"/>
        </w:trPr>
        <w:tc>
          <w:tcPr>
            <w:tcW w:w="416" w:type="dxa"/>
            <w:vMerge w:val="restart"/>
            <w:tcBorders>
              <w:top w:val="single" w:color="auto" w:sz="4" w:space="0"/>
              <w:left w:val="single" w:color="auto" w:sz="4" w:space="0"/>
              <w:bottom w:val="single" w:color="000000" w:sz="4" w:space="0"/>
              <w:right w:val="single" w:color="000000" w:sz="4" w:space="0"/>
            </w:tcBorders>
            <w:shd w:val="clear" w:color="000000" w:fill="FFFFFF"/>
            <w:noWrap/>
            <w:vAlign w:val="center"/>
          </w:tcPr>
          <w:p w14:paraId="174AE3C4">
            <w:pPr>
              <w:widowControl/>
              <w:jc w:val="center"/>
              <w:rPr>
                <w:rFonts w:ascii="宋体" w:hAnsi="宋体" w:cs="宋体"/>
                <w:kern w:val="0"/>
                <w:sz w:val="20"/>
                <w:szCs w:val="20"/>
              </w:rPr>
            </w:pPr>
            <w:r>
              <w:rPr>
                <w:rFonts w:hint="eastAsia" w:ascii="宋体" w:hAnsi="宋体" w:cs="宋体"/>
                <w:kern w:val="0"/>
                <w:sz w:val="20"/>
                <w:szCs w:val="20"/>
              </w:rPr>
              <w:t>序</w:t>
            </w:r>
            <w:r>
              <w:br w:type="textWrapping"/>
            </w:r>
            <w:r>
              <w:rPr>
                <w:rFonts w:hint="eastAsia" w:ascii="宋体" w:hAnsi="宋体" w:cs="宋体"/>
                <w:kern w:val="0"/>
                <w:sz w:val="20"/>
                <w:szCs w:val="20"/>
              </w:rPr>
              <w:t>号</w:t>
            </w:r>
          </w:p>
        </w:tc>
        <w:tc>
          <w:tcPr>
            <w:tcW w:w="1300"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14:paraId="076A7D2C">
            <w:pPr>
              <w:widowControl/>
              <w:jc w:val="center"/>
              <w:rPr>
                <w:rFonts w:ascii="宋体" w:hAnsi="宋体" w:cs="宋体"/>
                <w:kern w:val="0"/>
                <w:sz w:val="20"/>
                <w:szCs w:val="20"/>
              </w:rPr>
            </w:pPr>
            <w:r>
              <w:rPr>
                <w:rFonts w:hint="eastAsia" w:ascii="宋体" w:hAnsi="宋体" w:cs="宋体"/>
                <w:kern w:val="0"/>
                <w:sz w:val="20"/>
                <w:szCs w:val="20"/>
              </w:rPr>
              <w:t>项目编码</w:t>
            </w:r>
          </w:p>
        </w:tc>
        <w:tc>
          <w:tcPr>
            <w:tcW w:w="1276"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14:paraId="658FDDAD">
            <w:pPr>
              <w:widowControl/>
              <w:jc w:val="center"/>
              <w:rPr>
                <w:rFonts w:ascii="宋体" w:hAnsi="宋体" w:cs="宋体"/>
                <w:kern w:val="0"/>
                <w:sz w:val="20"/>
                <w:szCs w:val="20"/>
              </w:rPr>
            </w:pPr>
            <w:r>
              <w:rPr>
                <w:rFonts w:hint="eastAsia" w:ascii="宋体" w:hAnsi="宋体" w:cs="宋体"/>
                <w:kern w:val="0"/>
                <w:sz w:val="20"/>
                <w:szCs w:val="20"/>
              </w:rPr>
              <w:t>项目名称</w:t>
            </w:r>
          </w:p>
        </w:tc>
        <w:tc>
          <w:tcPr>
            <w:tcW w:w="1418"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14:paraId="7E5687F0">
            <w:pPr>
              <w:widowControl/>
              <w:jc w:val="center"/>
              <w:rPr>
                <w:rFonts w:ascii="宋体" w:hAnsi="宋体" w:cs="宋体"/>
                <w:kern w:val="0"/>
                <w:sz w:val="20"/>
                <w:szCs w:val="20"/>
              </w:rPr>
            </w:pPr>
            <w:r>
              <w:rPr>
                <w:rFonts w:hint="eastAsia" w:ascii="宋体" w:hAnsi="宋体" w:cs="宋体"/>
                <w:kern w:val="0"/>
                <w:sz w:val="20"/>
                <w:szCs w:val="20"/>
              </w:rPr>
              <w:t>项目特征描述</w:t>
            </w:r>
          </w:p>
        </w:tc>
        <w:tc>
          <w:tcPr>
            <w:tcW w:w="850"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14:paraId="7D6365A3">
            <w:pPr>
              <w:widowControl/>
              <w:jc w:val="center"/>
              <w:rPr>
                <w:rFonts w:ascii="宋体" w:hAnsi="宋体" w:cs="宋体"/>
                <w:kern w:val="0"/>
                <w:sz w:val="20"/>
                <w:szCs w:val="20"/>
              </w:rPr>
            </w:pPr>
            <w:r>
              <w:rPr>
                <w:rFonts w:hint="eastAsia" w:ascii="宋体" w:hAnsi="宋体" w:cs="宋体"/>
                <w:kern w:val="0"/>
                <w:sz w:val="20"/>
                <w:szCs w:val="20"/>
              </w:rPr>
              <w:t>计量</w:t>
            </w:r>
            <w:r>
              <w:br w:type="textWrapping"/>
            </w:r>
            <w:r>
              <w:rPr>
                <w:rFonts w:hint="eastAsia" w:ascii="宋体" w:hAnsi="宋体" w:cs="宋体"/>
                <w:kern w:val="0"/>
                <w:sz w:val="20"/>
                <w:szCs w:val="20"/>
              </w:rPr>
              <w:t>单位</w:t>
            </w:r>
          </w:p>
        </w:tc>
        <w:tc>
          <w:tcPr>
            <w:tcW w:w="851" w:type="dxa"/>
            <w:vMerge w:val="restart"/>
            <w:tcBorders>
              <w:top w:val="single" w:color="auto" w:sz="4" w:space="0"/>
              <w:left w:val="single" w:color="000000" w:sz="4" w:space="0"/>
              <w:bottom w:val="single" w:color="000000" w:sz="4" w:space="0"/>
              <w:right w:val="single" w:color="000000" w:sz="4" w:space="0"/>
            </w:tcBorders>
            <w:shd w:val="clear" w:color="000000" w:fill="FFFFFF"/>
            <w:vAlign w:val="center"/>
          </w:tcPr>
          <w:p w14:paraId="4DE6A341">
            <w:pPr>
              <w:widowControl/>
              <w:jc w:val="center"/>
              <w:rPr>
                <w:rFonts w:ascii="宋体" w:hAnsi="宋体" w:cs="宋体"/>
                <w:kern w:val="0"/>
                <w:sz w:val="20"/>
                <w:szCs w:val="20"/>
              </w:rPr>
            </w:pPr>
            <w:r>
              <w:rPr>
                <w:rFonts w:hint="eastAsia" w:ascii="宋体" w:hAnsi="宋体" w:cs="宋体"/>
                <w:kern w:val="0"/>
                <w:sz w:val="20"/>
                <w:szCs w:val="20"/>
              </w:rPr>
              <w:t>工程量</w:t>
            </w:r>
          </w:p>
        </w:tc>
        <w:tc>
          <w:tcPr>
            <w:tcW w:w="2268" w:type="dxa"/>
            <w:gridSpan w:val="2"/>
            <w:tcBorders>
              <w:top w:val="single" w:color="auto" w:sz="4" w:space="0"/>
              <w:left w:val="nil"/>
              <w:bottom w:val="single" w:color="000000" w:sz="4" w:space="0"/>
              <w:right w:val="single" w:color="000000" w:sz="4" w:space="0"/>
            </w:tcBorders>
            <w:shd w:val="clear" w:color="000000" w:fill="FFFFFF"/>
            <w:noWrap/>
            <w:vAlign w:val="center"/>
          </w:tcPr>
          <w:p w14:paraId="3A297E57">
            <w:pPr>
              <w:widowControl/>
              <w:jc w:val="center"/>
              <w:rPr>
                <w:rFonts w:ascii="宋体" w:hAnsi="宋体" w:cs="宋体"/>
                <w:kern w:val="0"/>
                <w:sz w:val="20"/>
                <w:szCs w:val="20"/>
              </w:rPr>
            </w:pPr>
            <w:r>
              <w:rPr>
                <w:rFonts w:hint="eastAsia" w:ascii="宋体" w:hAnsi="宋体" w:cs="宋体"/>
                <w:kern w:val="0"/>
                <w:sz w:val="20"/>
                <w:szCs w:val="20"/>
              </w:rPr>
              <w:t>金额</w:t>
            </w:r>
            <w:r>
              <w:rPr>
                <w:rFonts w:ascii="宋体" w:hAnsi="宋体" w:cs="宋体"/>
                <w:kern w:val="0"/>
                <w:sz w:val="20"/>
                <w:szCs w:val="20"/>
              </w:rPr>
              <w:t>(元)</w:t>
            </w:r>
          </w:p>
        </w:tc>
      </w:tr>
      <w:tr w14:paraId="3188AB73">
        <w:tblPrEx>
          <w:tblCellMar>
            <w:top w:w="0" w:type="dxa"/>
            <w:left w:w="108" w:type="dxa"/>
            <w:bottom w:w="0" w:type="dxa"/>
            <w:right w:w="108" w:type="dxa"/>
          </w:tblCellMar>
        </w:tblPrEx>
        <w:trPr>
          <w:trHeight w:val="372" w:hRule="atLeast"/>
        </w:trPr>
        <w:tc>
          <w:tcPr>
            <w:tcW w:w="416" w:type="dxa"/>
            <w:vMerge w:val="continue"/>
            <w:tcBorders>
              <w:top w:val="single" w:color="auto" w:sz="4" w:space="0"/>
              <w:left w:val="single" w:color="auto" w:sz="4" w:space="0"/>
              <w:bottom w:val="single" w:color="000000" w:sz="4" w:space="0"/>
              <w:right w:val="single" w:color="000000" w:sz="4" w:space="0"/>
            </w:tcBorders>
            <w:vAlign w:val="center"/>
          </w:tcPr>
          <w:p w14:paraId="3D67B2FD">
            <w:pPr>
              <w:widowControl/>
              <w:jc w:val="left"/>
              <w:rPr>
                <w:rFonts w:ascii="宋体" w:hAnsi="宋体" w:cs="宋体"/>
                <w:kern w:val="0"/>
                <w:sz w:val="20"/>
                <w:szCs w:val="20"/>
              </w:rPr>
            </w:pPr>
          </w:p>
        </w:tc>
        <w:tc>
          <w:tcPr>
            <w:tcW w:w="1300" w:type="dxa"/>
            <w:vMerge w:val="continue"/>
            <w:tcBorders>
              <w:top w:val="single" w:color="auto" w:sz="4" w:space="0"/>
              <w:left w:val="single" w:color="000000" w:sz="4" w:space="0"/>
              <w:bottom w:val="single" w:color="000000" w:sz="4" w:space="0"/>
              <w:right w:val="single" w:color="000000" w:sz="4" w:space="0"/>
            </w:tcBorders>
            <w:vAlign w:val="center"/>
          </w:tcPr>
          <w:p w14:paraId="496B0818">
            <w:pPr>
              <w:widowControl/>
              <w:jc w:val="left"/>
              <w:rPr>
                <w:rFonts w:ascii="宋体" w:hAnsi="宋体" w:cs="宋体"/>
                <w:kern w:val="0"/>
                <w:sz w:val="20"/>
                <w:szCs w:val="20"/>
              </w:rPr>
            </w:pPr>
          </w:p>
        </w:tc>
        <w:tc>
          <w:tcPr>
            <w:tcW w:w="1276" w:type="dxa"/>
            <w:vMerge w:val="continue"/>
            <w:tcBorders>
              <w:top w:val="single" w:color="auto" w:sz="4" w:space="0"/>
              <w:left w:val="single" w:color="000000" w:sz="4" w:space="0"/>
              <w:bottom w:val="single" w:color="000000" w:sz="4" w:space="0"/>
              <w:right w:val="single" w:color="000000" w:sz="4" w:space="0"/>
            </w:tcBorders>
            <w:vAlign w:val="center"/>
          </w:tcPr>
          <w:p w14:paraId="360FAD8F">
            <w:pPr>
              <w:widowControl/>
              <w:jc w:val="left"/>
              <w:rPr>
                <w:rFonts w:ascii="宋体" w:hAnsi="宋体" w:cs="宋体"/>
                <w:kern w:val="0"/>
                <w:sz w:val="20"/>
                <w:szCs w:val="20"/>
              </w:rPr>
            </w:pPr>
          </w:p>
        </w:tc>
        <w:tc>
          <w:tcPr>
            <w:tcW w:w="1418" w:type="dxa"/>
            <w:vMerge w:val="continue"/>
            <w:tcBorders>
              <w:top w:val="single" w:color="auto" w:sz="4" w:space="0"/>
              <w:left w:val="single" w:color="000000" w:sz="4" w:space="0"/>
              <w:bottom w:val="single" w:color="000000" w:sz="4" w:space="0"/>
              <w:right w:val="single" w:color="000000" w:sz="4" w:space="0"/>
            </w:tcBorders>
            <w:vAlign w:val="center"/>
          </w:tcPr>
          <w:p w14:paraId="39A3C05C">
            <w:pPr>
              <w:widowControl/>
              <w:jc w:val="left"/>
              <w:rPr>
                <w:rFonts w:ascii="宋体" w:hAnsi="宋体" w:cs="宋体"/>
                <w:kern w:val="0"/>
                <w:sz w:val="20"/>
                <w:szCs w:val="20"/>
              </w:rPr>
            </w:pPr>
          </w:p>
        </w:tc>
        <w:tc>
          <w:tcPr>
            <w:tcW w:w="850" w:type="dxa"/>
            <w:vMerge w:val="continue"/>
            <w:tcBorders>
              <w:top w:val="single" w:color="auto" w:sz="4" w:space="0"/>
              <w:left w:val="single" w:color="000000" w:sz="4" w:space="0"/>
              <w:bottom w:val="single" w:color="000000" w:sz="4" w:space="0"/>
              <w:right w:val="single" w:color="000000" w:sz="4" w:space="0"/>
            </w:tcBorders>
            <w:vAlign w:val="center"/>
          </w:tcPr>
          <w:p w14:paraId="33D109AB">
            <w:pPr>
              <w:widowControl/>
              <w:jc w:val="left"/>
              <w:rPr>
                <w:rFonts w:ascii="宋体" w:hAnsi="宋体" w:cs="宋体"/>
                <w:kern w:val="0"/>
                <w:sz w:val="20"/>
                <w:szCs w:val="20"/>
              </w:rPr>
            </w:pPr>
          </w:p>
        </w:tc>
        <w:tc>
          <w:tcPr>
            <w:tcW w:w="851" w:type="dxa"/>
            <w:vMerge w:val="continue"/>
            <w:tcBorders>
              <w:top w:val="single" w:color="auto" w:sz="4" w:space="0"/>
              <w:left w:val="single" w:color="000000" w:sz="4" w:space="0"/>
              <w:bottom w:val="single" w:color="000000" w:sz="4" w:space="0"/>
              <w:right w:val="single" w:color="000000" w:sz="4" w:space="0"/>
            </w:tcBorders>
            <w:vAlign w:val="center"/>
          </w:tcPr>
          <w:p w14:paraId="7D2441BC">
            <w:pPr>
              <w:widowControl/>
              <w:jc w:val="left"/>
              <w:rPr>
                <w:rFonts w:ascii="宋体" w:hAnsi="宋体" w:cs="宋体"/>
                <w:kern w:val="0"/>
                <w:sz w:val="20"/>
                <w:szCs w:val="20"/>
              </w:rPr>
            </w:pPr>
          </w:p>
        </w:tc>
        <w:tc>
          <w:tcPr>
            <w:tcW w:w="1134" w:type="dxa"/>
            <w:tcBorders>
              <w:top w:val="nil"/>
              <w:left w:val="nil"/>
              <w:bottom w:val="single" w:color="000000" w:sz="4" w:space="0"/>
              <w:right w:val="single" w:color="000000" w:sz="4" w:space="0"/>
            </w:tcBorders>
            <w:shd w:val="clear" w:color="000000" w:fill="FFFFFF"/>
            <w:vAlign w:val="center"/>
          </w:tcPr>
          <w:p w14:paraId="5840CB65">
            <w:pPr>
              <w:widowControl/>
              <w:jc w:val="center"/>
              <w:rPr>
                <w:rFonts w:ascii="宋体" w:hAnsi="宋体" w:cs="宋体"/>
                <w:kern w:val="0"/>
                <w:sz w:val="20"/>
                <w:szCs w:val="20"/>
              </w:rPr>
            </w:pPr>
            <w:r>
              <w:rPr>
                <w:rFonts w:hint="eastAsia" w:ascii="宋体" w:hAnsi="宋体" w:cs="宋体"/>
                <w:kern w:val="0"/>
                <w:sz w:val="20"/>
                <w:szCs w:val="20"/>
              </w:rPr>
              <w:t>综合单价</w:t>
            </w:r>
          </w:p>
        </w:tc>
        <w:tc>
          <w:tcPr>
            <w:tcW w:w="1134" w:type="dxa"/>
            <w:tcBorders>
              <w:top w:val="nil"/>
              <w:left w:val="nil"/>
              <w:bottom w:val="single" w:color="000000" w:sz="4" w:space="0"/>
              <w:right w:val="single" w:color="auto" w:sz="4" w:space="0"/>
            </w:tcBorders>
            <w:shd w:val="clear" w:color="000000" w:fill="FFFFFF"/>
            <w:vAlign w:val="center"/>
          </w:tcPr>
          <w:p w14:paraId="208CCA82">
            <w:pPr>
              <w:widowControl/>
              <w:jc w:val="center"/>
              <w:rPr>
                <w:rFonts w:ascii="宋体" w:hAnsi="宋体" w:cs="宋体"/>
                <w:kern w:val="0"/>
                <w:sz w:val="20"/>
                <w:szCs w:val="20"/>
              </w:rPr>
            </w:pPr>
            <w:r>
              <w:rPr>
                <w:rFonts w:hint="eastAsia" w:ascii="宋体" w:hAnsi="宋体" w:cs="宋体"/>
                <w:kern w:val="0"/>
                <w:sz w:val="20"/>
                <w:szCs w:val="20"/>
              </w:rPr>
              <w:t>合价</w:t>
            </w:r>
          </w:p>
        </w:tc>
      </w:tr>
      <w:tr w14:paraId="17BAAAC7">
        <w:tblPrEx>
          <w:tblCellMar>
            <w:top w:w="0" w:type="dxa"/>
            <w:left w:w="108" w:type="dxa"/>
            <w:bottom w:w="0" w:type="dxa"/>
            <w:right w:w="108" w:type="dxa"/>
          </w:tblCellMar>
        </w:tblPrEx>
        <w:trPr>
          <w:trHeight w:val="462" w:hRule="atLeast"/>
        </w:trPr>
        <w:tc>
          <w:tcPr>
            <w:tcW w:w="416" w:type="dxa"/>
            <w:tcBorders>
              <w:top w:val="nil"/>
              <w:left w:val="single" w:color="auto" w:sz="4" w:space="0"/>
              <w:bottom w:val="single" w:color="auto" w:sz="4" w:space="0"/>
              <w:right w:val="single" w:color="auto" w:sz="4" w:space="0"/>
            </w:tcBorders>
            <w:shd w:val="clear" w:color="000000" w:fill="FFFFFF"/>
            <w:noWrap/>
            <w:vAlign w:val="center"/>
          </w:tcPr>
          <w:p w14:paraId="17477DF0">
            <w:pPr>
              <w:widowControl/>
              <w:jc w:val="center"/>
              <w:rPr>
                <w:rFonts w:ascii="宋体" w:hAnsi="宋体" w:cs="宋体"/>
                <w:kern w:val="0"/>
                <w:sz w:val="18"/>
                <w:szCs w:val="18"/>
              </w:rPr>
            </w:pPr>
          </w:p>
        </w:tc>
        <w:tc>
          <w:tcPr>
            <w:tcW w:w="1300" w:type="dxa"/>
            <w:tcBorders>
              <w:top w:val="nil"/>
              <w:left w:val="nil"/>
              <w:bottom w:val="single" w:color="auto" w:sz="4" w:space="0"/>
              <w:right w:val="single" w:color="auto" w:sz="4" w:space="0"/>
            </w:tcBorders>
            <w:shd w:val="clear" w:color="000000" w:fill="FFFFFF"/>
            <w:noWrap/>
            <w:vAlign w:val="center"/>
          </w:tcPr>
          <w:p w14:paraId="46B29C35">
            <w:pPr>
              <w:widowControl/>
              <w:jc w:val="center"/>
              <w:rPr>
                <w:rFonts w:ascii="宋体" w:hAnsi="宋体" w:cs="宋体"/>
                <w:kern w:val="0"/>
                <w:sz w:val="18"/>
                <w:szCs w:val="18"/>
              </w:rPr>
            </w:pPr>
          </w:p>
        </w:tc>
        <w:tc>
          <w:tcPr>
            <w:tcW w:w="1276" w:type="dxa"/>
            <w:tcBorders>
              <w:top w:val="nil"/>
              <w:left w:val="nil"/>
              <w:bottom w:val="single" w:color="auto" w:sz="4" w:space="0"/>
              <w:right w:val="single" w:color="auto" w:sz="4" w:space="0"/>
            </w:tcBorders>
            <w:shd w:val="clear" w:color="000000" w:fill="FFFFFF"/>
            <w:vAlign w:val="center"/>
          </w:tcPr>
          <w:p w14:paraId="64E6EA5D">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shd w:val="clear" w:color="000000" w:fill="FFFFFF"/>
            <w:vAlign w:val="center"/>
          </w:tcPr>
          <w:p w14:paraId="2A3B9DF1">
            <w:pPr>
              <w:widowControl/>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shd w:val="clear" w:color="000000" w:fill="FFFFFF"/>
            <w:vAlign w:val="center"/>
          </w:tcPr>
          <w:p w14:paraId="6613235B">
            <w:pPr>
              <w:widowControl/>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shd w:val="clear" w:color="000000" w:fill="FFFFFF"/>
            <w:noWrap/>
            <w:vAlign w:val="center"/>
          </w:tcPr>
          <w:p w14:paraId="21BA567E">
            <w:pPr>
              <w:widowControl/>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shd w:val="clear" w:color="000000" w:fill="FFFFFF"/>
            <w:noWrap/>
            <w:vAlign w:val="center"/>
          </w:tcPr>
          <w:p w14:paraId="05C4F0D7">
            <w:pPr>
              <w:widowControl/>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shd w:val="clear" w:color="000000" w:fill="FFFFFF"/>
            <w:noWrap/>
            <w:vAlign w:val="center"/>
          </w:tcPr>
          <w:p w14:paraId="6B02301D">
            <w:pPr>
              <w:widowControl/>
              <w:jc w:val="center"/>
              <w:rPr>
                <w:rFonts w:ascii="宋体" w:hAnsi="宋体" w:cs="宋体"/>
                <w:kern w:val="0"/>
                <w:sz w:val="18"/>
                <w:szCs w:val="18"/>
              </w:rPr>
            </w:pPr>
          </w:p>
        </w:tc>
      </w:tr>
      <w:tr w14:paraId="39440E8D">
        <w:tblPrEx>
          <w:tblCellMar>
            <w:top w:w="0" w:type="dxa"/>
            <w:left w:w="108" w:type="dxa"/>
            <w:bottom w:w="0" w:type="dxa"/>
            <w:right w:w="108" w:type="dxa"/>
          </w:tblCellMar>
        </w:tblPrEx>
        <w:trPr>
          <w:trHeight w:val="462" w:hRule="atLeast"/>
        </w:trPr>
        <w:tc>
          <w:tcPr>
            <w:tcW w:w="416" w:type="dxa"/>
            <w:tcBorders>
              <w:top w:val="nil"/>
              <w:left w:val="single" w:color="auto" w:sz="4" w:space="0"/>
              <w:bottom w:val="single" w:color="auto" w:sz="4" w:space="0"/>
              <w:right w:val="single" w:color="auto" w:sz="4" w:space="0"/>
            </w:tcBorders>
            <w:shd w:val="clear" w:color="000000" w:fill="FFFFFF"/>
            <w:noWrap/>
            <w:vAlign w:val="center"/>
          </w:tcPr>
          <w:p w14:paraId="283B7ED9">
            <w:pPr>
              <w:widowControl/>
              <w:jc w:val="center"/>
              <w:rPr>
                <w:rFonts w:ascii="宋体" w:hAnsi="宋体" w:cs="宋体"/>
                <w:kern w:val="0"/>
                <w:sz w:val="18"/>
                <w:szCs w:val="18"/>
              </w:rPr>
            </w:pPr>
          </w:p>
        </w:tc>
        <w:tc>
          <w:tcPr>
            <w:tcW w:w="1300" w:type="dxa"/>
            <w:tcBorders>
              <w:top w:val="nil"/>
              <w:left w:val="nil"/>
              <w:bottom w:val="single" w:color="auto" w:sz="4" w:space="0"/>
              <w:right w:val="single" w:color="auto" w:sz="4" w:space="0"/>
            </w:tcBorders>
            <w:shd w:val="clear" w:color="000000" w:fill="FFFFFF"/>
            <w:noWrap/>
            <w:vAlign w:val="center"/>
          </w:tcPr>
          <w:p w14:paraId="32E92B8D">
            <w:pPr>
              <w:widowControl/>
              <w:jc w:val="center"/>
              <w:rPr>
                <w:rFonts w:ascii="宋体" w:hAnsi="宋体" w:cs="宋体"/>
                <w:kern w:val="0"/>
                <w:sz w:val="18"/>
                <w:szCs w:val="18"/>
              </w:rPr>
            </w:pPr>
          </w:p>
        </w:tc>
        <w:tc>
          <w:tcPr>
            <w:tcW w:w="1276" w:type="dxa"/>
            <w:tcBorders>
              <w:top w:val="nil"/>
              <w:left w:val="nil"/>
              <w:bottom w:val="single" w:color="auto" w:sz="4" w:space="0"/>
              <w:right w:val="single" w:color="auto" w:sz="4" w:space="0"/>
            </w:tcBorders>
            <w:shd w:val="clear" w:color="000000" w:fill="FFFFFF"/>
            <w:vAlign w:val="center"/>
          </w:tcPr>
          <w:p w14:paraId="351B1FC3">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shd w:val="clear" w:color="000000" w:fill="FFFFFF"/>
            <w:vAlign w:val="center"/>
          </w:tcPr>
          <w:p w14:paraId="573E4FF6">
            <w:pPr>
              <w:widowControl/>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shd w:val="clear" w:color="000000" w:fill="FFFFFF"/>
            <w:vAlign w:val="center"/>
          </w:tcPr>
          <w:p w14:paraId="79A44D31">
            <w:pPr>
              <w:widowControl/>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shd w:val="clear" w:color="000000" w:fill="FFFFFF"/>
            <w:noWrap/>
            <w:vAlign w:val="center"/>
          </w:tcPr>
          <w:p w14:paraId="5A61D15D">
            <w:pPr>
              <w:widowControl/>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shd w:val="clear" w:color="000000" w:fill="FFFFFF"/>
            <w:noWrap/>
            <w:vAlign w:val="center"/>
          </w:tcPr>
          <w:p w14:paraId="6DBC9D1A">
            <w:pPr>
              <w:widowControl/>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shd w:val="clear" w:color="000000" w:fill="FFFFFF"/>
            <w:noWrap/>
            <w:vAlign w:val="center"/>
          </w:tcPr>
          <w:p w14:paraId="481EC77F">
            <w:pPr>
              <w:widowControl/>
              <w:jc w:val="center"/>
              <w:rPr>
                <w:rFonts w:ascii="宋体" w:hAnsi="宋体" w:cs="宋体"/>
                <w:kern w:val="0"/>
                <w:sz w:val="18"/>
                <w:szCs w:val="18"/>
              </w:rPr>
            </w:pPr>
          </w:p>
        </w:tc>
      </w:tr>
      <w:tr w14:paraId="7D15D591">
        <w:tblPrEx>
          <w:tblCellMar>
            <w:top w:w="0" w:type="dxa"/>
            <w:left w:w="108" w:type="dxa"/>
            <w:bottom w:w="0" w:type="dxa"/>
            <w:right w:w="108" w:type="dxa"/>
          </w:tblCellMar>
        </w:tblPrEx>
        <w:trPr>
          <w:trHeight w:val="462" w:hRule="atLeast"/>
        </w:trPr>
        <w:tc>
          <w:tcPr>
            <w:tcW w:w="416" w:type="dxa"/>
            <w:tcBorders>
              <w:top w:val="nil"/>
              <w:left w:val="single" w:color="auto" w:sz="4" w:space="0"/>
              <w:bottom w:val="single" w:color="auto" w:sz="4" w:space="0"/>
              <w:right w:val="single" w:color="auto" w:sz="4" w:space="0"/>
            </w:tcBorders>
            <w:shd w:val="clear" w:color="000000" w:fill="FFFFFF"/>
            <w:noWrap/>
            <w:vAlign w:val="center"/>
          </w:tcPr>
          <w:p w14:paraId="060C8943">
            <w:pPr>
              <w:widowControl/>
              <w:jc w:val="center"/>
              <w:rPr>
                <w:rFonts w:ascii="宋体" w:hAnsi="宋体" w:cs="宋体"/>
                <w:kern w:val="0"/>
                <w:sz w:val="18"/>
                <w:szCs w:val="18"/>
              </w:rPr>
            </w:pPr>
          </w:p>
        </w:tc>
        <w:tc>
          <w:tcPr>
            <w:tcW w:w="1300" w:type="dxa"/>
            <w:tcBorders>
              <w:top w:val="nil"/>
              <w:left w:val="nil"/>
              <w:bottom w:val="single" w:color="auto" w:sz="4" w:space="0"/>
              <w:right w:val="single" w:color="auto" w:sz="4" w:space="0"/>
            </w:tcBorders>
            <w:shd w:val="clear" w:color="000000" w:fill="FFFFFF"/>
            <w:noWrap/>
            <w:vAlign w:val="center"/>
          </w:tcPr>
          <w:p w14:paraId="3F1249A4">
            <w:pPr>
              <w:widowControl/>
              <w:jc w:val="center"/>
              <w:rPr>
                <w:rFonts w:ascii="宋体" w:hAnsi="宋体" w:cs="宋体"/>
                <w:kern w:val="0"/>
                <w:sz w:val="18"/>
                <w:szCs w:val="18"/>
              </w:rPr>
            </w:pPr>
          </w:p>
        </w:tc>
        <w:tc>
          <w:tcPr>
            <w:tcW w:w="1276" w:type="dxa"/>
            <w:tcBorders>
              <w:top w:val="nil"/>
              <w:left w:val="nil"/>
              <w:bottom w:val="single" w:color="auto" w:sz="4" w:space="0"/>
              <w:right w:val="single" w:color="auto" w:sz="4" w:space="0"/>
            </w:tcBorders>
            <w:shd w:val="clear" w:color="000000" w:fill="FFFFFF"/>
            <w:vAlign w:val="center"/>
          </w:tcPr>
          <w:p w14:paraId="46E3B5A5">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shd w:val="clear" w:color="000000" w:fill="FFFFFF"/>
            <w:vAlign w:val="center"/>
          </w:tcPr>
          <w:p w14:paraId="51649FC3">
            <w:pPr>
              <w:widowControl/>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shd w:val="clear" w:color="000000" w:fill="FFFFFF"/>
            <w:vAlign w:val="center"/>
          </w:tcPr>
          <w:p w14:paraId="7F4DB78A">
            <w:pPr>
              <w:widowControl/>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shd w:val="clear" w:color="000000" w:fill="FFFFFF"/>
            <w:noWrap/>
            <w:vAlign w:val="center"/>
          </w:tcPr>
          <w:p w14:paraId="5FC9EA7F">
            <w:pPr>
              <w:widowControl/>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shd w:val="clear" w:color="000000" w:fill="FFFFFF"/>
            <w:noWrap/>
            <w:vAlign w:val="center"/>
          </w:tcPr>
          <w:p w14:paraId="49A57C4D">
            <w:pPr>
              <w:widowControl/>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shd w:val="clear" w:color="000000" w:fill="FFFFFF"/>
            <w:noWrap/>
            <w:vAlign w:val="center"/>
          </w:tcPr>
          <w:p w14:paraId="381B45BD">
            <w:pPr>
              <w:widowControl/>
              <w:jc w:val="center"/>
              <w:rPr>
                <w:rFonts w:ascii="宋体" w:hAnsi="宋体" w:cs="宋体"/>
                <w:kern w:val="0"/>
                <w:sz w:val="18"/>
                <w:szCs w:val="18"/>
              </w:rPr>
            </w:pPr>
          </w:p>
        </w:tc>
      </w:tr>
      <w:tr w14:paraId="17C2DD05">
        <w:tblPrEx>
          <w:tblCellMar>
            <w:top w:w="0" w:type="dxa"/>
            <w:left w:w="108" w:type="dxa"/>
            <w:bottom w:w="0" w:type="dxa"/>
            <w:right w:w="108" w:type="dxa"/>
          </w:tblCellMar>
        </w:tblPrEx>
        <w:trPr>
          <w:trHeight w:val="462" w:hRule="atLeast"/>
        </w:trPr>
        <w:tc>
          <w:tcPr>
            <w:tcW w:w="416" w:type="dxa"/>
            <w:tcBorders>
              <w:top w:val="nil"/>
              <w:left w:val="single" w:color="auto" w:sz="4" w:space="0"/>
              <w:bottom w:val="single" w:color="auto" w:sz="4" w:space="0"/>
              <w:right w:val="single" w:color="auto" w:sz="4" w:space="0"/>
            </w:tcBorders>
            <w:shd w:val="clear" w:color="000000" w:fill="FFFFFF"/>
            <w:noWrap/>
            <w:vAlign w:val="center"/>
          </w:tcPr>
          <w:p w14:paraId="56841903">
            <w:pPr>
              <w:widowControl/>
              <w:jc w:val="center"/>
              <w:rPr>
                <w:rFonts w:ascii="宋体" w:hAnsi="宋体" w:cs="宋体"/>
                <w:kern w:val="0"/>
                <w:sz w:val="18"/>
                <w:szCs w:val="18"/>
              </w:rPr>
            </w:pPr>
          </w:p>
        </w:tc>
        <w:tc>
          <w:tcPr>
            <w:tcW w:w="1300" w:type="dxa"/>
            <w:tcBorders>
              <w:top w:val="nil"/>
              <w:left w:val="nil"/>
              <w:bottom w:val="single" w:color="auto" w:sz="4" w:space="0"/>
              <w:right w:val="single" w:color="auto" w:sz="4" w:space="0"/>
            </w:tcBorders>
            <w:shd w:val="clear" w:color="000000" w:fill="FFFFFF"/>
            <w:noWrap/>
            <w:vAlign w:val="center"/>
          </w:tcPr>
          <w:p w14:paraId="196C3C63">
            <w:pPr>
              <w:widowControl/>
              <w:jc w:val="center"/>
              <w:rPr>
                <w:rFonts w:ascii="宋体" w:hAnsi="宋体" w:cs="宋体"/>
                <w:kern w:val="0"/>
                <w:sz w:val="18"/>
                <w:szCs w:val="18"/>
              </w:rPr>
            </w:pPr>
          </w:p>
        </w:tc>
        <w:tc>
          <w:tcPr>
            <w:tcW w:w="1276" w:type="dxa"/>
            <w:tcBorders>
              <w:top w:val="nil"/>
              <w:left w:val="nil"/>
              <w:bottom w:val="single" w:color="auto" w:sz="4" w:space="0"/>
              <w:right w:val="single" w:color="auto" w:sz="4" w:space="0"/>
            </w:tcBorders>
            <w:shd w:val="clear" w:color="000000" w:fill="FFFFFF"/>
            <w:vAlign w:val="center"/>
          </w:tcPr>
          <w:p w14:paraId="11B49EDD">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shd w:val="clear" w:color="000000" w:fill="FFFFFF"/>
            <w:vAlign w:val="center"/>
          </w:tcPr>
          <w:p w14:paraId="31B30691">
            <w:pPr>
              <w:widowControl/>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shd w:val="clear" w:color="000000" w:fill="FFFFFF"/>
            <w:vAlign w:val="center"/>
          </w:tcPr>
          <w:p w14:paraId="378C7AD6">
            <w:pPr>
              <w:widowControl/>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shd w:val="clear" w:color="000000" w:fill="FFFFFF"/>
            <w:noWrap/>
            <w:vAlign w:val="center"/>
          </w:tcPr>
          <w:p w14:paraId="08913330">
            <w:pPr>
              <w:widowControl/>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shd w:val="clear" w:color="000000" w:fill="FFFFFF"/>
            <w:noWrap/>
            <w:vAlign w:val="center"/>
          </w:tcPr>
          <w:p w14:paraId="2BB17273">
            <w:pPr>
              <w:widowControl/>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shd w:val="clear" w:color="000000" w:fill="FFFFFF"/>
            <w:noWrap/>
            <w:vAlign w:val="center"/>
          </w:tcPr>
          <w:p w14:paraId="6CF11EB0">
            <w:pPr>
              <w:widowControl/>
              <w:jc w:val="center"/>
              <w:rPr>
                <w:rFonts w:ascii="宋体" w:hAnsi="宋体" w:cs="宋体"/>
                <w:kern w:val="0"/>
                <w:sz w:val="18"/>
                <w:szCs w:val="18"/>
              </w:rPr>
            </w:pPr>
          </w:p>
        </w:tc>
      </w:tr>
      <w:tr w14:paraId="403BC848">
        <w:tblPrEx>
          <w:tblCellMar>
            <w:top w:w="0" w:type="dxa"/>
            <w:left w:w="108" w:type="dxa"/>
            <w:bottom w:w="0" w:type="dxa"/>
            <w:right w:w="108" w:type="dxa"/>
          </w:tblCellMar>
        </w:tblPrEx>
        <w:trPr>
          <w:trHeight w:val="462" w:hRule="atLeast"/>
        </w:trPr>
        <w:tc>
          <w:tcPr>
            <w:tcW w:w="416" w:type="dxa"/>
            <w:tcBorders>
              <w:top w:val="nil"/>
              <w:left w:val="single" w:color="auto" w:sz="4" w:space="0"/>
              <w:bottom w:val="single" w:color="auto" w:sz="4" w:space="0"/>
              <w:right w:val="single" w:color="auto" w:sz="4" w:space="0"/>
            </w:tcBorders>
            <w:shd w:val="clear" w:color="000000" w:fill="FFFFFF"/>
            <w:noWrap/>
            <w:vAlign w:val="center"/>
          </w:tcPr>
          <w:p w14:paraId="2685FC41">
            <w:pPr>
              <w:widowControl/>
              <w:jc w:val="center"/>
              <w:rPr>
                <w:rFonts w:ascii="宋体" w:hAnsi="宋体" w:cs="宋体"/>
                <w:kern w:val="0"/>
                <w:sz w:val="18"/>
                <w:szCs w:val="18"/>
              </w:rPr>
            </w:pPr>
          </w:p>
        </w:tc>
        <w:tc>
          <w:tcPr>
            <w:tcW w:w="1300" w:type="dxa"/>
            <w:tcBorders>
              <w:top w:val="nil"/>
              <w:left w:val="nil"/>
              <w:bottom w:val="single" w:color="auto" w:sz="4" w:space="0"/>
              <w:right w:val="single" w:color="auto" w:sz="4" w:space="0"/>
            </w:tcBorders>
            <w:shd w:val="clear" w:color="000000" w:fill="FFFFFF"/>
            <w:noWrap/>
            <w:vAlign w:val="center"/>
          </w:tcPr>
          <w:p w14:paraId="08A5D965">
            <w:pPr>
              <w:widowControl/>
              <w:jc w:val="center"/>
              <w:rPr>
                <w:rFonts w:ascii="宋体" w:hAnsi="宋体" w:cs="宋体"/>
                <w:kern w:val="0"/>
                <w:sz w:val="18"/>
                <w:szCs w:val="18"/>
              </w:rPr>
            </w:pPr>
          </w:p>
        </w:tc>
        <w:tc>
          <w:tcPr>
            <w:tcW w:w="1276" w:type="dxa"/>
            <w:tcBorders>
              <w:top w:val="nil"/>
              <w:left w:val="nil"/>
              <w:bottom w:val="single" w:color="auto" w:sz="4" w:space="0"/>
              <w:right w:val="single" w:color="auto" w:sz="4" w:space="0"/>
            </w:tcBorders>
            <w:shd w:val="clear" w:color="000000" w:fill="FFFFFF"/>
            <w:vAlign w:val="center"/>
          </w:tcPr>
          <w:p w14:paraId="1C8446DE">
            <w:pPr>
              <w:widowControl/>
              <w:jc w:val="center"/>
              <w:rPr>
                <w:rFonts w:ascii="宋体" w:hAnsi="宋体" w:cs="宋体"/>
                <w:kern w:val="0"/>
                <w:sz w:val="18"/>
                <w:szCs w:val="18"/>
              </w:rPr>
            </w:pPr>
          </w:p>
        </w:tc>
        <w:tc>
          <w:tcPr>
            <w:tcW w:w="1418" w:type="dxa"/>
            <w:tcBorders>
              <w:top w:val="nil"/>
              <w:left w:val="nil"/>
              <w:bottom w:val="single" w:color="auto" w:sz="4" w:space="0"/>
              <w:right w:val="single" w:color="auto" w:sz="4" w:space="0"/>
            </w:tcBorders>
            <w:shd w:val="clear" w:color="000000" w:fill="FFFFFF"/>
            <w:vAlign w:val="center"/>
          </w:tcPr>
          <w:p w14:paraId="443616E7">
            <w:pPr>
              <w:widowControl/>
              <w:jc w:val="center"/>
              <w:rPr>
                <w:rFonts w:ascii="宋体" w:hAnsi="宋体" w:cs="宋体"/>
                <w:kern w:val="0"/>
                <w:sz w:val="18"/>
                <w:szCs w:val="18"/>
              </w:rPr>
            </w:pPr>
          </w:p>
        </w:tc>
        <w:tc>
          <w:tcPr>
            <w:tcW w:w="850" w:type="dxa"/>
            <w:tcBorders>
              <w:top w:val="nil"/>
              <w:left w:val="nil"/>
              <w:bottom w:val="single" w:color="auto" w:sz="4" w:space="0"/>
              <w:right w:val="single" w:color="auto" w:sz="4" w:space="0"/>
            </w:tcBorders>
            <w:shd w:val="clear" w:color="000000" w:fill="FFFFFF"/>
            <w:vAlign w:val="center"/>
          </w:tcPr>
          <w:p w14:paraId="113F9546">
            <w:pPr>
              <w:widowControl/>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shd w:val="clear" w:color="000000" w:fill="FFFFFF"/>
            <w:noWrap/>
            <w:vAlign w:val="center"/>
          </w:tcPr>
          <w:p w14:paraId="268647FB">
            <w:pPr>
              <w:widowControl/>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shd w:val="clear" w:color="000000" w:fill="FFFFFF"/>
            <w:noWrap/>
            <w:vAlign w:val="center"/>
          </w:tcPr>
          <w:p w14:paraId="59234036">
            <w:pPr>
              <w:widowControl/>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shd w:val="clear" w:color="000000" w:fill="FFFFFF"/>
            <w:noWrap/>
            <w:vAlign w:val="center"/>
          </w:tcPr>
          <w:p w14:paraId="77AAB71D">
            <w:pPr>
              <w:widowControl/>
              <w:jc w:val="center"/>
              <w:rPr>
                <w:rFonts w:ascii="宋体" w:hAnsi="宋体" w:cs="宋体"/>
                <w:kern w:val="0"/>
                <w:sz w:val="18"/>
                <w:szCs w:val="18"/>
              </w:rPr>
            </w:pPr>
          </w:p>
        </w:tc>
      </w:tr>
      <w:tr w14:paraId="32206108">
        <w:tblPrEx>
          <w:tblCellMar>
            <w:top w:w="0" w:type="dxa"/>
            <w:left w:w="108" w:type="dxa"/>
            <w:bottom w:w="0" w:type="dxa"/>
            <w:right w:w="108" w:type="dxa"/>
          </w:tblCellMar>
        </w:tblPrEx>
        <w:trPr>
          <w:trHeight w:val="462" w:hRule="atLeast"/>
        </w:trPr>
        <w:tc>
          <w:tcPr>
            <w:tcW w:w="416" w:type="dxa"/>
            <w:tcBorders>
              <w:top w:val="nil"/>
              <w:left w:val="single" w:color="auto" w:sz="4" w:space="0"/>
              <w:bottom w:val="single" w:color="auto" w:sz="4" w:space="0"/>
              <w:right w:val="single" w:color="auto" w:sz="4" w:space="0"/>
            </w:tcBorders>
            <w:shd w:val="clear" w:color="auto" w:fill="auto"/>
            <w:noWrap/>
            <w:vAlign w:val="center"/>
          </w:tcPr>
          <w:p w14:paraId="7C6BEC44">
            <w:pPr>
              <w:widowControl/>
              <w:jc w:val="center"/>
              <w:rPr>
                <w:rFonts w:ascii="宋体" w:hAnsi="宋体" w:cs="宋体"/>
                <w:kern w:val="0"/>
                <w:sz w:val="20"/>
                <w:szCs w:val="20"/>
              </w:rPr>
            </w:pPr>
          </w:p>
        </w:tc>
        <w:tc>
          <w:tcPr>
            <w:tcW w:w="1300" w:type="dxa"/>
            <w:tcBorders>
              <w:top w:val="nil"/>
              <w:left w:val="nil"/>
              <w:bottom w:val="single" w:color="auto" w:sz="4" w:space="0"/>
              <w:right w:val="single" w:color="auto" w:sz="4" w:space="0"/>
            </w:tcBorders>
            <w:shd w:val="clear" w:color="auto" w:fill="auto"/>
            <w:noWrap/>
            <w:vAlign w:val="center"/>
          </w:tcPr>
          <w:p w14:paraId="31E596B3">
            <w:pPr>
              <w:widowControl/>
              <w:jc w:val="center"/>
              <w:rPr>
                <w:rFonts w:ascii="宋体" w:hAnsi="宋体" w:cs="宋体"/>
                <w:kern w:val="0"/>
                <w:sz w:val="20"/>
                <w:szCs w:val="20"/>
              </w:rPr>
            </w:pPr>
          </w:p>
        </w:tc>
        <w:tc>
          <w:tcPr>
            <w:tcW w:w="1276" w:type="dxa"/>
            <w:tcBorders>
              <w:top w:val="nil"/>
              <w:left w:val="nil"/>
              <w:bottom w:val="single" w:color="auto" w:sz="4" w:space="0"/>
              <w:right w:val="single" w:color="auto" w:sz="4" w:space="0"/>
            </w:tcBorders>
            <w:shd w:val="clear" w:color="auto" w:fill="auto"/>
            <w:noWrap/>
            <w:vAlign w:val="center"/>
          </w:tcPr>
          <w:p w14:paraId="7376334A">
            <w:pPr>
              <w:widowControl/>
              <w:jc w:val="center"/>
              <w:rPr>
                <w:rFonts w:ascii="宋体" w:hAnsi="宋体" w:cs="宋体"/>
                <w:kern w:val="0"/>
                <w:sz w:val="20"/>
                <w:szCs w:val="20"/>
              </w:rPr>
            </w:pPr>
          </w:p>
        </w:tc>
        <w:tc>
          <w:tcPr>
            <w:tcW w:w="1418" w:type="dxa"/>
            <w:tcBorders>
              <w:top w:val="nil"/>
              <w:left w:val="nil"/>
              <w:bottom w:val="single" w:color="auto" w:sz="4" w:space="0"/>
              <w:right w:val="single" w:color="auto" w:sz="4" w:space="0"/>
            </w:tcBorders>
            <w:shd w:val="clear" w:color="auto" w:fill="auto"/>
            <w:noWrap/>
            <w:vAlign w:val="center"/>
          </w:tcPr>
          <w:p w14:paraId="0552A5F1">
            <w:pPr>
              <w:widowControl/>
              <w:jc w:val="center"/>
              <w:rPr>
                <w:rFonts w:ascii="宋体" w:hAnsi="宋体" w:cs="宋体"/>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14:paraId="5DBF565D">
            <w:pPr>
              <w:widowControl/>
              <w:jc w:val="center"/>
              <w:rPr>
                <w:rFonts w:ascii="宋体" w:hAnsi="宋体" w:cs="宋体"/>
                <w:kern w:val="0"/>
                <w:sz w:val="20"/>
                <w:szCs w:val="20"/>
              </w:rPr>
            </w:pPr>
          </w:p>
        </w:tc>
        <w:tc>
          <w:tcPr>
            <w:tcW w:w="851" w:type="dxa"/>
            <w:tcBorders>
              <w:top w:val="nil"/>
              <w:left w:val="nil"/>
              <w:bottom w:val="single" w:color="auto" w:sz="4" w:space="0"/>
              <w:right w:val="single" w:color="auto" w:sz="4" w:space="0"/>
            </w:tcBorders>
            <w:shd w:val="clear" w:color="auto" w:fill="auto"/>
            <w:noWrap/>
            <w:vAlign w:val="center"/>
          </w:tcPr>
          <w:p w14:paraId="08EE3DD4">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690A4D86">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772AB837">
            <w:pPr>
              <w:widowControl/>
              <w:jc w:val="center"/>
              <w:rPr>
                <w:rFonts w:ascii="宋体" w:hAnsi="宋体" w:cs="宋体"/>
                <w:kern w:val="0"/>
                <w:sz w:val="20"/>
                <w:szCs w:val="20"/>
              </w:rPr>
            </w:pPr>
          </w:p>
        </w:tc>
      </w:tr>
      <w:tr w14:paraId="2CE32624">
        <w:tblPrEx>
          <w:tblCellMar>
            <w:top w:w="0" w:type="dxa"/>
            <w:left w:w="108" w:type="dxa"/>
            <w:bottom w:w="0" w:type="dxa"/>
            <w:right w:w="108" w:type="dxa"/>
          </w:tblCellMar>
        </w:tblPrEx>
        <w:trPr>
          <w:trHeight w:val="462" w:hRule="atLeast"/>
        </w:trPr>
        <w:tc>
          <w:tcPr>
            <w:tcW w:w="416" w:type="dxa"/>
            <w:tcBorders>
              <w:top w:val="nil"/>
              <w:left w:val="single" w:color="auto" w:sz="4" w:space="0"/>
              <w:bottom w:val="single" w:color="auto" w:sz="4" w:space="0"/>
              <w:right w:val="single" w:color="auto" w:sz="4" w:space="0"/>
            </w:tcBorders>
            <w:shd w:val="clear" w:color="auto" w:fill="auto"/>
            <w:noWrap/>
            <w:vAlign w:val="center"/>
          </w:tcPr>
          <w:p w14:paraId="11C2B06D">
            <w:pPr>
              <w:widowControl/>
              <w:jc w:val="center"/>
              <w:rPr>
                <w:rFonts w:ascii="宋体" w:hAnsi="宋体" w:cs="宋体"/>
                <w:kern w:val="0"/>
                <w:sz w:val="20"/>
                <w:szCs w:val="20"/>
              </w:rPr>
            </w:pPr>
          </w:p>
        </w:tc>
        <w:tc>
          <w:tcPr>
            <w:tcW w:w="1300" w:type="dxa"/>
            <w:tcBorders>
              <w:top w:val="nil"/>
              <w:left w:val="nil"/>
              <w:bottom w:val="single" w:color="auto" w:sz="4" w:space="0"/>
              <w:right w:val="single" w:color="auto" w:sz="4" w:space="0"/>
            </w:tcBorders>
            <w:shd w:val="clear" w:color="auto" w:fill="auto"/>
            <w:noWrap/>
            <w:vAlign w:val="center"/>
          </w:tcPr>
          <w:p w14:paraId="4A12D58D">
            <w:pPr>
              <w:widowControl/>
              <w:jc w:val="center"/>
              <w:rPr>
                <w:rFonts w:ascii="宋体" w:hAnsi="宋体" w:cs="宋体"/>
                <w:kern w:val="0"/>
                <w:sz w:val="20"/>
                <w:szCs w:val="20"/>
              </w:rPr>
            </w:pPr>
          </w:p>
        </w:tc>
        <w:tc>
          <w:tcPr>
            <w:tcW w:w="1276" w:type="dxa"/>
            <w:tcBorders>
              <w:top w:val="nil"/>
              <w:left w:val="nil"/>
              <w:bottom w:val="single" w:color="auto" w:sz="4" w:space="0"/>
              <w:right w:val="single" w:color="auto" w:sz="4" w:space="0"/>
            </w:tcBorders>
            <w:shd w:val="clear" w:color="auto" w:fill="auto"/>
            <w:noWrap/>
            <w:vAlign w:val="center"/>
          </w:tcPr>
          <w:p w14:paraId="04F0B828">
            <w:pPr>
              <w:widowControl/>
              <w:jc w:val="center"/>
              <w:rPr>
                <w:rFonts w:ascii="宋体" w:hAnsi="宋体" w:cs="宋体"/>
                <w:kern w:val="0"/>
                <w:sz w:val="20"/>
                <w:szCs w:val="20"/>
              </w:rPr>
            </w:pPr>
          </w:p>
        </w:tc>
        <w:tc>
          <w:tcPr>
            <w:tcW w:w="1418" w:type="dxa"/>
            <w:tcBorders>
              <w:top w:val="nil"/>
              <w:left w:val="nil"/>
              <w:bottom w:val="single" w:color="auto" w:sz="4" w:space="0"/>
              <w:right w:val="single" w:color="auto" w:sz="4" w:space="0"/>
            </w:tcBorders>
            <w:shd w:val="clear" w:color="auto" w:fill="auto"/>
            <w:noWrap/>
            <w:vAlign w:val="center"/>
          </w:tcPr>
          <w:p w14:paraId="4AE4D701">
            <w:pPr>
              <w:widowControl/>
              <w:jc w:val="center"/>
              <w:rPr>
                <w:rFonts w:ascii="宋体" w:hAnsi="宋体" w:cs="宋体"/>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14:paraId="267168AF">
            <w:pPr>
              <w:widowControl/>
              <w:jc w:val="center"/>
              <w:rPr>
                <w:rFonts w:ascii="宋体" w:hAnsi="宋体" w:cs="宋体"/>
                <w:kern w:val="0"/>
                <w:sz w:val="20"/>
                <w:szCs w:val="20"/>
              </w:rPr>
            </w:pPr>
          </w:p>
        </w:tc>
        <w:tc>
          <w:tcPr>
            <w:tcW w:w="851" w:type="dxa"/>
            <w:tcBorders>
              <w:top w:val="nil"/>
              <w:left w:val="nil"/>
              <w:bottom w:val="single" w:color="auto" w:sz="4" w:space="0"/>
              <w:right w:val="single" w:color="auto" w:sz="4" w:space="0"/>
            </w:tcBorders>
            <w:shd w:val="clear" w:color="auto" w:fill="auto"/>
            <w:noWrap/>
            <w:vAlign w:val="center"/>
          </w:tcPr>
          <w:p w14:paraId="09D6B347">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516C1BD6">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5AC0AAEA">
            <w:pPr>
              <w:widowControl/>
              <w:jc w:val="center"/>
              <w:rPr>
                <w:rFonts w:ascii="宋体" w:hAnsi="宋体" w:cs="宋体"/>
                <w:kern w:val="0"/>
                <w:sz w:val="20"/>
                <w:szCs w:val="20"/>
              </w:rPr>
            </w:pPr>
          </w:p>
        </w:tc>
      </w:tr>
      <w:tr w14:paraId="2406BEE6">
        <w:tblPrEx>
          <w:tblCellMar>
            <w:top w:w="0" w:type="dxa"/>
            <w:left w:w="108" w:type="dxa"/>
            <w:bottom w:w="0" w:type="dxa"/>
            <w:right w:w="108" w:type="dxa"/>
          </w:tblCellMar>
        </w:tblPrEx>
        <w:trPr>
          <w:trHeight w:val="462" w:hRule="atLeast"/>
        </w:trPr>
        <w:tc>
          <w:tcPr>
            <w:tcW w:w="416" w:type="dxa"/>
            <w:tcBorders>
              <w:top w:val="nil"/>
              <w:left w:val="single" w:color="auto" w:sz="4" w:space="0"/>
              <w:bottom w:val="single" w:color="auto" w:sz="4" w:space="0"/>
              <w:right w:val="single" w:color="auto" w:sz="4" w:space="0"/>
            </w:tcBorders>
            <w:shd w:val="clear" w:color="auto" w:fill="auto"/>
            <w:noWrap/>
            <w:vAlign w:val="center"/>
          </w:tcPr>
          <w:p w14:paraId="4DEB1564">
            <w:pPr>
              <w:widowControl/>
              <w:jc w:val="center"/>
              <w:rPr>
                <w:rFonts w:ascii="宋体" w:hAnsi="宋体" w:cs="宋体"/>
                <w:kern w:val="0"/>
                <w:sz w:val="20"/>
                <w:szCs w:val="20"/>
              </w:rPr>
            </w:pPr>
          </w:p>
        </w:tc>
        <w:tc>
          <w:tcPr>
            <w:tcW w:w="1300" w:type="dxa"/>
            <w:tcBorders>
              <w:top w:val="nil"/>
              <w:left w:val="nil"/>
              <w:bottom w:val="single" w:color="auto" w:sz="4" w:space="0"/>
              <w:right w:val="single" w:color="auto" w:sz="4" w:space="0"/>
            </w:tcBorders>
            <w:shd w:val="clear" w:color="auto" w:fill="auto"/>
            <w:noWrap/>
            <w:vAlign w:val="center"/>
          </w:tcPr>
          <w:p w14:paraId="7A73C47A">
            <w:pPr>
              <w:widowControl/>
              <w:jc w:val="center"/>
              <w:rPr>
                <w:rFonts w:ascii="宋体" w:hAnsi="宋体" w:cs="宋体"/>
                <w:kern w:val="0"/>
                <w:sz w:val="20"/>
                <w:szCs w:val="20"/>
              </w:rPr>
            </w:pPr>
          </w:p>
        </w:tc>
        <w:tc>
          <w:tcPr>
            <w:tcW w:w="1276" w:type="dxa"/>
            <w:tcBorders>
              <w:top w:val="nil"/>
              <w:left w:val="nil"/>
              <w:bottom w:val="single" w:color="auto" w:sz="4" w:space="0"/>
              <w:right w:val="single" w:color="auto" w:sz="4" w:space="0"/>
            </w:tcBorders>
            <w:shd w:val="clear" w:color="auto" w:fill="auto"/>
            <w:noWrap/>
            <w:vAlign w:val="center"/>
          </w:tcPr>
          <w:p w14:paraId="7C8F62E3">
            <w:pPr>
              <w:widowControl/>
              <w:jc w:val="center"/>
              <w:rPr>
                <w:rFonts w:ascii="宋体" w:hAnsi="宋体" w:cs="宋体"/>
                <w:kern w:val="0"/>
                <w:sz w:val="20"/>
                <w:szCs w:val="20"/>
              </w:rPr>
            </w:pPr>
          </w:p>
        </w:tc>
        <w:tc>
          <w:tcPr>
            <w:tcW w:w="1418" w:type="dxa"/>
            <w:tcBorders>
              <w:top w:val="nil"/>
              <w:left w:val="nil"/>
              <w:bottom w:val="single" w:color="auto" w:sz="4" w:space="0"/>
              <w:right w:val="single" w:color="auto" w:sz="4" w:space="0"/>
            </w:tcBorders>
            <w:shd w:val="clear" w:color="auto" w:fill="auto"/>
            <w:noWrap/>
            <w:vAlign w:val="center"/>
          </w:tcPr>
          <w:p w14:paraId="6B759709">
            <w:pPr>
              <w:widowControl/>
              <w:jc w:val="center"/>
              <w:rPr>
                <w:rFonts w:ascii="宋体" w:hAnsi="宋体" w:cs="宋体"/>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14:paraId="694D15C9">
            <w:pPr>
              <w:widowControl/>
              <w:jc w:val="center"/>
              <w:rPr>
                <w:rFonts w:ascii="宋体" w:hAnsi="宋体" w:cs="宋体"/>
                <w:kern w:val="0"/>
                <w:sz w:val="20"/>
                <w:szCs w:val="20"/>
              </w:rPr>
            </w:pPr>
          </w:p>
        </w:tc>
        <w:tc>
          <w:tcPr>
            <w:tcW w:w="851" w:type="dxa"/>
            <w:tcBorders>
              <w:top w:val="nil"/>
              <w:left w:val="nil"/>
              <w:bottom w:val="single" w:color="auto" w:sz="4" w:space="0"/>
              <w:right w:val="single" w:color="auto" w:sz="4" w:space="0"/>
            </w:tcBorders>
            <w:shd w:val="clear" w:color="auto" w:fill="auto"/>
            <w:noWrap/>
            <w:vAlign w:val="center"/>
          </w:tcPr>
          <w:p w14:paraId="3C83969E">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6AA73F20">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719CCD02">
            <w:pPr>
              <w:widowControl/>
              <w:jc w:val="center"/>
              <w:rPr>
                <w:rFonts w:ascii="宋体" w:hAnsi="宋体" w:cs="宋体"/>
                <w:kern w:val="0"/>
                <w:sz w:val="20"/>
                <w:szCs w:val="20"/>
              </w:rPr>
            </w:pPr>
          </w:p>
        </w:tc>
      </w:tr>
      <w:tr w14:paraId="7366A5E2">
        <w:tblPrEx>
          <w:tblCellMar>
            <w:top w:w="0" w:type="dxa"/>
            <w:left w:w="108" w:type="dxa"/>
            <w:bottom w:w="0" w:type="dxa"/>
            <w:right w:w="108" w:type="dxa"/>
          </w:tblCellMar>
        </w:tblPrEx>
        <w:trPr>
          <w:trHeight w:val="462" w:hRule="atLeast"/>
        </w:trPr>
        <w:tc>
          <w:tcPr>
            <w:tcW w:w="416" w:type="dxa"/>
            <w:tcBorders>
              <w:top w:val="nil"/>
              <w:left w:val="single" w:color="auto" w:sz="4" w:space="0"/>
              <w:bottom w:val="single" w:color="auto" w:sz="4" w:space="0"/>
              <w:right w:val="single" w:color="auto" w:sz="4" w:space="0"/>
            </w:tcBorders>
            <w:shd w:val="clear" w:color="auto" w:fill="auto"/>
            <w:noWrap/>
            <w:vAlign w:val="center"/>
          </w:tcPr>
          <w:p w14:paraId="229116F2">
            <w:pPr>
              <w:widowControl/>
              <w:jc w:val="center"/>
              <w:rPr>
                <w:rFonts w:ascii="宋体" w:hAnsi="宋体" w:cs="宋体"/>
                <w:kern w:val="0"/>
                <w:sz w:val="20"/>
                <w:szCs w:val="20"/>
              </w:rPr>
            </w:pPr>
          </w:p>
        </w:tc>
        <w:tc>
          <w:tcPr>
            <w:tcW w:w="1300" w:type="dxa"/>
            <w:tcBorders>
              <w:top w:val="nil"/>
              <w:left w:val="nil"/>
              <w:bottom w:val="single" w:color="auto" w:sz="4" w:space="0"/>
              <w:right w:val="single" w:color="auto" w:sz="4" w:space="0"/>
            </w:tcBorders>
            <w:shd w:val="clear" w:color="auto" w:fill="auto"/>
            <w:noWrap/>
            <w:vAlign w:val="center"/>
          </w:tcPr>
          <w:p w14:paraId="6FCF2A07">
            <w:pPr>
              <w:widowControl/>
              <w:jc w:val="center"/>
              <w:rPr>
                <w:rFonts w:ascii="宋体" w:hAnsi="宋体" w:cs="宋体"/>
                <w:kern w:val="0"/>
                <w:sz w:val="20"/>
                <w:szCs w:val="20"/>
              </w:rPr>
            </w:pPr>
          </w:p>
        </w:tc>
        <w:tc>
          <w:tcPr>
            <w:tcW w:w="1276" w:type="dxa"/>
            <w:tcBorders>
              <w:top w:val="nil"/>
              <w:left w:val="nil"/>
              <w:bottom w:val="single" w:color="auto" w:sz="4" w:space="0"/>
              <w:right w:val="single" w:color="auto" w:sz="4" w:space="0"/>
            </w:tcBorders>
            <w:shd w:val="clear" w:color="auto" w:fill="auto"/>
            <w:noWrap/>
            <w:vAlign w:val="center"/>
          </w:tcPr>
          <w:p w14:paraId="5FAD551C">
            <w:pPr>
              <w:widowControl/>
              <w:jc w:val="center"/>
              <w:rPr>
                <w:rFonts w:ascii="宋体" w:hAnsi="宋体" w:cs="宋体"/>
                <w:kern w:val="0"/>
                <w:sz w:val="20"/>
                <w:szCs w:val="20"/>
              </w:rPr>
            </w:pPr>
          </w:p>
        </w:tc>
        <w:tc>
          <w:tcPr>
            <w:tcW w:w="1418" w:type="dxa"/>
            <w:tcBorders>
              <w:top w:val="nil"/>
              <w:left w:val="nil"/>
              <w:bottom w:val="single" w:color="auto" w:sz="4" w:space="0"/>
              <w:right w:val="single" w:color="auto" w:sz="4" w:space="0"/>
            </w:tcBorders>
            <w:shd w:val="clear" w:color="auto" w:fill="auto"/>
            <w:noWrap/>
            <w:vAlign w:val="center"/>
          </w:tcPr>
          <w:p w14:paraId="4AA532AB">
            <w:pPr>
              <w:widowControl/>
              <w:jc w:val="center"/>
              <w:rPr>
                <w:rFonts w:ascii="宋体" w:hAnsi="宋体" w:cs="宋体"/>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14:paraId="58C82027">
            <w:pPr>
              <w:widowControl/>
              <w:jc w:val="center"/>
              <w:rPr>
                <w:rFonts w:ascii="宋体" w:hAnsi="宋体" w:cs="宋体"/>
                <w:kern w:val="0"/>
                <w:sz w:val="20"/>
                <w:szCs w:val="20"/>
              </w:rPr>
            </w:pPr>
          </w:p>
        </w:tc>
        <w:tc>
          <w:tcPr>
            <w:tcW w:w="851" w:type="dxa"/>
            <w:tcBorders>
              <w:top w:val="nil"/>
              <w:left w:val="nil"/>
              <w:bottom w:val="single" w:color="auto" w:sz="4" w:space="0"/>
              <w:right w:val="single" w:color="auto" w:sz="4" w:space="0"/>
            </w:tcBorders>
            <w:shd w:val="clear" w:color="auto" w:fill="auto"/>
            <w:noWrap/>
            <w:vAlign w:val="center"/>
          </w:tcPr>
          <w:p w14:paraId="1A92090F">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2AFED2D8">
            <w:pPr>
              <w:widowControl/>
              <w:jc w:val="center"/>
              <w:rPr>
                <w:rFonts w:ascii="宋体" w:hAnsi="宋体" w:cs="宋体"/>
                <w:kern w:val="0"/>
                <w:sz w:val="20"/>
                <w:szCs w:val="20"/>
              </w:rPr>
            </w:pPr>
          </w:p>
        </w:tc>
        <w:tc>
          <w:tcPr>
            <w:tcW w:w="1134" w:type="dxa"/>
            <w:tcBorders>
              <w:top w:val="nil"/>
              <w:left w:val="nil"/>
              <w:bottom w:val="single" w:color="auto" w:sz="4" w:space="0"/>
              <w:right w:val="single" w:color="auto" w:sz="4" w:space="0"/>
            </w:tcBorders>
            <w:shd w:val="clear" w:color="auto" w:fill="auto"/>
            <w:noWrap/>
            <w:vAlign w:val="center"/>
          </w:tcPr>
          <w:p w14:paraId="16B69BF9">
            <w:pPr>
              <w:widowControl/>
              <w:jc w:val="center"/>
              <w:rPr>
                <w:rFonts w:ascii="宋体" w:hAnsi="宋体" w:cs="宋体"/>
                <w:kern w:val="0"/>
                <w:sz w:val="20"/>
                <w:szCs w:val="20"/>
              </w:rPr>
            </w:pPr>
          </w:p>
        </w:tc>
      </w:tr>
      <w:tr w14:paraId="3C07AFF7">
        <w:tblPrEx>
          <w:tblCellMar>
            <w:top w:w="0" w:type="dxa"/>
            <w:left w:w="108" w:type="dxa"/>
            <w:bottom w:w="0" w:type="dxa"/>
            <w:right w:w="108" w:type="dxa"/>
          </w:tblCellMar>
        </w:tblPrEx>
        <w:trPr>
          <w:trHeight w:val="462" w:hRule="atLeast"/>
        </w:trPr>
        <w:tc>
          <w:tcPr>
            <w:tcW w:w="7245"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14:paraId="61AFE77B">
            <w:pPr>
              <w:widowControl/>
              <w:jc w:val="center"/>
              <w:rPr>
                <w:rFonts w:ascii="宋体" w:hAnsi="宋体" w:cs="宋体"/>
                <w:kern w:val="0"/>
                <w:sz w:val="20"/>
                <w:szCs w:val="20"/>
              </w:rPr>
            </w:pPr>
            <w:r>
              <w:rPr>
                <w:rFonts w:hint="eastAsia" w:ascii="宋体" w:hAnsi="宋体" w:cs="宋体"/>
                <w:kern w:val="0"/>
                <w:sz w:val="20"/>
                <w:szCs w:val="20"/>
              </w:rPr>
              <w:t>本页小计</w:t>
            </w:r>
          </w:p>
        </w:tc>
        <w:tc>
          <w:tcPr>
            <w:tcW w:w="1134" w:type="dxa"/>
            <w:tcBorders>
              <w:top w:val="nil"/>
              <w:left w:val="nil"/>
              <w:bottom w:val="single" w:color="auto" w:sz="4" w:space="0"/>
              <w:right w:val="single" w:color="auto" w:sz="4" w:space="0"/>
            </w:tcBorders>
            <w:shd w:val="clear" w:color="auto" w:fill="auto"/>
            <w:noWrap/>
            <w:vAlign w:val="center"/>
          </w:tcPr>
          <w:p w14:paraId="726679C4">
            <w:pPr>
              <w:widowControl/>
              <w:jc w:val="center"/>
              <w:rPr>
                <w:rFonts w:ascii="宋体" w:hAnsi="宋体" w:cs="宋体"/>
                <w:kern w:val="0"/>
                <w:sz w:val="20"/>
                <w:szCs w:val="20"/>
              </w:rPr>
            </w:pPr>
          </w:p>
        </w:tc>
      </w:tr>
      <w:tr w14:paraId="58AEBB7F">
        <w:tblPrEx>
          <w:tblCellMar>
            <w:top w:w="0" w:type="dxa"/>
            <w:left w:w="108" w:type="dxa"/>
            <w:bottom w:w="0" w:type="dxa"/>
            <w:right w:w="108" w:type="dxa"/>
          </w:tblCellMar>
        </w:tblPrEx>
        <w:trPr>
          <w:trHeight w:val="462" w:hRule="atLeast"/>
        </w:trPr>
        <w:tc>
          <w:tcPr>
            <w:tcW w:w="7245"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14:paraId="110F34CE">
            <w:pPr>
              <w:widowControl/>
              <w:jc w:val="center"/>
              <w:rPr>
                <w:rFonts w:ascii="宋体" w:hAnsi="宋体" w:cs="宋体"/>
                <w:kern w:val="0"/>
                <w:sz w:val="20"/>
                <w:szCs w:val="20"/>
              </w:rPr>
            </w:pPr>
            <w:r>
              <w:rPr>
                <w:rFonts w:hint="eastAsia" w:ascii="宋体" w:hAnsi="宋体" w:cs="宋体"/>
                <w:kern w:val="0"/>
                <w:sz w:val="20"/>
                <w:szCs w:val="20"/>
              </w:rPr>
              <w:t>合</w:t>
            </w:r>
            <w:r>
              <w:rPr>
                <w:rFonts w:ascii="宋体" w:hAnsi="宋体" w:cs="宋体"/>
                <w:kern w:val="0"/>
                <w:sz w:val="20"/>
                <w:szCs w:val="20"/>
              </w:rPr>
              <w:t xml:space="preserve">  </w:t>
            </w:r>
            <w:r>
              <w:rPr>
                <w:rFonts w:hint="eastAsia" w:ascii="宋体" w:hAnsi="宋体" w:cs="宋体"/>
                <w:kern w:val="0"/>
                <w:sz w:val="20"/>
                <w:szCs w:val="20"/>
              </w:rPr>
              <w:t>计</w:t>
            </w:r>
          </w:p>
        </w:tc>
        <w:tc>
          <w:tcPr>
            <w:tcW w:w="1134" w:type="dxa"/>
            <w:tcBorders>
              <w:top w:val="nil"/>
              <w:left w:val="nil"/>
              <w:bottom w:val="single" w:color="auto" w:sz="4" w:space="0"/>
              <w:right w:val="single" w:color="auto" w:sz="4" w:space="0"/>
            </w:tcBorders>
            <w:shd w:val="clear" w:color="auto" w:fill="auto"/>
            <w:noWrap/>
            <w:vAlign w:val="center"/>
          </w:tcPr>
          <w:p w14:paraId="6BFA2F1B">
            <w:pPr>
              <w:widowControl/>
              <w:jc w:val="center"/>
              <w:rPr>
                <w:rFonts w:ascii="宋体" w:hAnsi="宋体" w:cs="宋体"/>
                <w:kern w:val="0"/>
                <w:sz w:val="20"/>
                <w:szCs w:val="20"/>
              </w:rPr>
            </w:pPr>
          </w:p>
        </w:tc>
      </w:tr>
    </w:tbl>
    <w:p w14:paraId="2F64DD71">
      <w:pPr>
        <w:keepNext/>
        <w:keepLines/>
        <w:spacing w:before="280" w:after="290" w:line="376" w:lineRule="auto"/>
        <w:outlineLvl w:val="3"/>
        <w:rPr>
          <w:rFonts w:ascii="Arial" w:hAnsi="Arial" w:eastAsia="黑体"/>
          <w:b/>
          <w:bCs/>
          <w:sz w:val="28"/>
          <w:szCs w:val="28"/>
        </w:rPr>
      </w:pPr>
      <w:r>
        <w:rPr>
          <w:rFonts w:hint="eastAsia" w:ascii="Arial" w:hAnsi="Arial" w:eastAsia="黑体"/>
          <w:b/>
          <w:bCs/>
          <w:sz w:val="28"/>
          <w:szCs w:val="28"/>
        </w:rPr>
        <w:t>（8）</w:t>
      </w:r>
      <w:r>
        <w:rPr>
          <w:rFonts w:hint="eastAsia" w:ascii="Arial" w:hAnsi="Arial" w:eastAsia="黑体"/>
          <w:b/>
          <w:bCs/>
          <w:kern w:val="0"/>
          <w:sz w:val="28"/>
          <w:szCs w:val="28"/>
        </w:rPr>
        <w:t>其他项目清单与计价汇总表</w:t>
      </w:r>
    </w:p>
    <w:tbl>
      <w:tblPr>
        <w:tblStyle w:val="50"/>
        <w:tblW w:w="8379" w:type="dxa"/>
        <w:tblInd w:w="93" w:type="dxa"/>
        <w:tblLayout w:type="autofit"/>
        <w:tblCellMar>
          <w:top w:w="0" w:type="dxa"/>
          <w:left w:w="108" w:type="dxa"/>
          <w:bottom w:w="0" w:type="dxa"/>
          <w:right w:w="108" w:type="dxa"/>
        </w:tblCellMar>
      </w:tblPr>
      <w:tblGrid>
        <w:gridCol w:w="1575"/>
        <w:gridCol w:w="3402"/>
        <w:gridCol w:w="1842"/>
        <w:gridCol w:w="1560"/>
      </w:tblGrid>
      <w:tr w14:paraId="3985D26F">
        <w:tblPrEx>
          <w:tblCellMar>
            <w:top w:w="0" w:type="dxa"/>
            <w:left w:w="108" w:type="dxa"/>
            <w:bottom w:w="0" w:type="dxa"/>
            <w:right w:w="108" w:type="dxa"/>
          </w:tblCellMar>
        </w:tblPrEx>
        <w:trPr>
          <w:trHeight w:val="668" w:hRule="atLeast"/>
        </w:trPr>
        <w:tc>
          <w:tcPr>
            <w:tcW w:w="1575" w:type="dxa"/>
            <w:tcBorders>
              <w:top w:val="nil"/>
              <w:left w:val="nil"/>
              <w:bottom w:val="nil"/>
              <w:right w:val="nil"/>
            </w:tcBorders>
            <w:shd w:val="clear" w:color="auto" w:fill="auto"/>
            <w:vAlign w:val="bottom"/>
          </w:tcPr>
          <w:p w14:paraId="2BC72A3A">
            <w:pPr>
              <w:widowControl/>
              <w:jc w:val="left"/>
              <w:rPr>
                <w:rFonts w:ascii="宋体" w:hAnsi="宋体" w:cs="宋体"/>
                <w:kern w:val="0"/>
                <w:sz w:val="20"/>
                <w:szCs w:val="20"/>
              </w:rPr>
            </w:pPr>
            <w:r>
              <w:rPr>
                <w:rFonts w:hint="eastAsia" w:ascii="宋体" w:hAnsi="宋体" w:cs="宋体"/>
                <w:kern w:val="0"/>
                <w:sz w:val="20"/>
                <w:szCs w:val="20"/>
              </w:rPr>
              <w:t>工程名称</w:t>
            </w:r>
            <w:r>
              <w:rPr>
                <w:rFonts w:ascii="宋体" w:hAnsi="宋体" w:cs="宋体"/>
                <w:kern w:val="0"/>
                <w:sz w:val="20"/>
                <w:szCs w:val="20"/>
              </w:rPr>
              <w:t xml:space="preserve">: </w:t>
            </w:r>
          </w:p>
        </w:tc>
        <w:tc>
          <w:tcPr>
            <w:tcW w:w="5244" w:type="dxa"/>
            <w:gridSpan w:val="2"/>
            <w:tcBorders>
              <w:top w:val="nil"/>
              <w:left w:val="nil"/>
              <w:bottom w:val="nil"/>
              <w:right w:val="nil"/>
            </w:tcBorders>
            <w:shd w:val="clear" w:color="auto" w:fill="auto"/>
            <w:vAlign w:val="bottom"/>
          </w:tcPr>
          <w:p w14:paraId="7E1828F7">
            <w:pPr>
              <w:widowControl/>
              <w:jc w:val="left"/>
              <w:rPr>
                <w:rFonts w:ascii="宋体" w:hAnsi="宋体" w:cs="宋体"/>
                <w:kern w:val="0"/>
                <w:sz w:val="20"/>
                <w:szCs w:val="20"/>
              </w:rPr>
            </w:pPr>
            <w:r>
              <w:rPr>
                <w:rFonts w:ascii="宋体" w:hAnsi="宋体" w:cs="宋体"/>
                <w:kern w:val="0"/>
                <w:sz w:val="20"/>
                <w:szCs w:val="20"/>
              </w:rPr>
              <w:t xml:space="preserve">            标段：</w:t>
            </w:r>
          </w:p>
        </w:tc>
        <w:tc>
          <w:tcPr>
            <w:tcW w:w="1560" w:type="dxa"/>
            <w:tcBorders>
              <w:top w:val="nil"/>
              <w:left w:val="nil"/>
              <w:bottom w:val="nil"/>
              <w:right w:val="nil"/>
            </w:tcBorders>
            <w:shd w:val="clear" w:color="auto" w:fill="auto"/>
            <w:vAlign w:val="bottom"/>
          </w:tcPr>
          <w:p w14:paraId="479A96B9">
            <w:pPr>
              <w:widowControl/>
              <w:jc w:val="right"/>
              <w:rPr>
                <w:rFonts w:ascii="宋体" w:hAnsi="宋体" w:cs="宋体"/>
                <w:kern w:val="0"/>
                <w:sz w:val="20"/>
                <w:szCs w:val="20"/>
              </w:rPr>
            </w:pPr>
            <w:r>
              <w:rPr>
                <w:rFonts w:hint="eastAsia" w:ascii="宋体" w:hAnsi="宋体" w:cs="宋体"/>
                <w:kern w:val="0"/>
                <w:sz w:val="20"/>
                <w:szCs w:val="20"/>
              </w:rPr>
              <w:t>第</w:t>
            </w:r>
            <w:r>
              <w:rPr>
                <w:rFonts w:ascii="宋体" w:hAnsi="宋体" w:cs="宋体"/>
                <w:kern w:val="0"/>
                <w:sz w:val="20"/>
                <w:szCs w:val="20"/>
              </w:rPr>
              <w:t xml:space="preserve">1页 </w:t>
            </w:r>
            <w:r>
              <w:rPr>
                <w:rFonts w:hint="eastAsia" w:ascii="宋体" w:hAnsi="宋体" w:cs="宋体"/>
                <w:kern w:val="0"/>
                <w:sz w:val="20"/>
                <w:szCs w:val="20"/>
              </w:rPr>
              <w:t>共</w:t>
            </w:r>
            <w:r>
              <w:rPr>
                <w:rFonts w:ascii="宋体" w:hAnsi="宋体" w:cs="宋体"/>
                <w:kern w:val="0"/>
                <w:sz w:val="20"/>
                <w:szCs w:val="20"/>
              </w:rPr>
              <w:t>1页</w:t>
            </w:r>
          </w:p>
        </w:tc>
      </w:tr>
      <w:tr w14:paraId="733EC3F2">
        <w:tblPrEx>
          <w:tblCellMar>
            <w:top w:w="0" w:type="dxa"/>
            <w:left w:w="108" w:type="dxa"/>
            <w:bottom w:w="0" w:type="dxa"/>
            <w:right w:w="108" w:type="dxa"/>
          </w:tblCellMar>
        </w:tblPrEx>
        <w:trPr>
          <w:trHeight w:val="372" w:hRule="atLeast"/>
        </w:trPr>
        <w:tc>
          <w:tcPr>
            <w:tcW w:w="1575" w:type="dxa"/>
            <w:tcBorders>
              <w:top w:val="single" w:color="auto" w:sz="4" w:space="0"/>
              <w:left w:val="single" w:color="auto" w:sz="4" w:space="0"/>
              <w:bottom w:val="single" w:color="000000" w:sz="4" w:space="0"/>
              <w:right w:val="single" w:color="000000" w:sz="4" w:space="0"/>
            </w:tcBorders>
            <w:shd w:val="clear" w:color="000000" w:fill="FFFFFF"/>
            <w:noWrap/>
            <w:vAlign w:val="center"/>
          </w:tcPr>
          <w:p w14:paraId="7D11273E">
            <w:pPr>
              <w:widowControl/>
              <w:jc w:val="center"/>
              <w:rPr>
                <w:rFonts w:ascii="宋体" w:hAnsi="宋体" w:cs="宋体"/>
                <w:kern w:val="0"/>
                <w:sz w:val="20"/>
                <w:szCs w:val="20"/>
              </w:rPr>
            </w:pPr>
            <w:r>
              <w:rPr>
                <w:rFonts w:hint="eastAsia" w:ascii="宋体" w:hAnsi="宋体" w:cs="宋体"/>
                <w:kern w:val="0"/>
                <w:sz w:val="20"/>
                <w:szCs w:val="20"/>
              </w:rPr>
              <w:t>序号</w:t>
            </w:r>
          </w:p>
        </w:tc>
        <w:tc>
          <w:tcPr>
            <w:tcW w:w="3402" w:type="dxa"/>
            <w:tcBorders>
              <w:top w:val="single" w:color="auto" w:sz="4" w:space="0"/>
              <w:left w:val="nil"/>
              <w:bottom w:val="single" w:color="000000" w:sz="4" w:space="0"/>
              <w:right w:val="single" w:color="000000" w:sz="4" w:space="0"/>
            </w:tcBorders>
            <w:shd w:val="clear" w:color="000000" w:fill="FFFFFF"/>
            <w:vAlign w:val="center"/>
          </w:tcPr>
          <w:p w14:paraId="450F28CB">
            <w:pPr>
              <w:widowControl/>
              <w:jc w:val="center"/>
              <w:rPr>
                <w:rFonts w:ascii="宋体" w:hAnsi="宋体" w:cs="宋体"/>
                <w:kern w:val="0"/>
                <w:sz w:val="20"/>
                <w:szCs w:val="20"/>
              </w:rPr>
            </w:pPr>
            <w:r>
              <w:rPr>
                <w:rFonts w:hint="eastAsia" w:ascii="宋体" w:hAnsi="宋体" w:cs="宋体"/>
                <w:kern w:val="0"/>
                <w:sz w:val="20"/>
                <w:szCs w:val="20"/>
              </w:rPr>
              <w:t>项目名称</w:t>
            </w:r>
          </w:p>
        </w:tc>
        <w:tc>
          <w:tcPr>
            <w:tcW w:w="1842" w:type="dxa"/>
            <w:tcBorders>
              <w:top w:val="single" w:color="auto" w:sz="4" w:space="0"/>
              <w:left w:val="nil"/>
              <w:bottom w:val="single" w:color="000000" w:sz="4" w:space="0"/>
              <w:right w:val="single" w:color="000000" w:sz="4" w:space="0"/>
            </w:tcBorders>
            <w:shd w:val="clear" w:color="000000" w:fill="FFFFFF"/>
            <w:vAlign w:val="center"/>
          </w:tcPr>
          <w:p w14:paraId="377A8C01">
            <w:pPr>
              <w:widowControl/>
              <w:jc w:val="center"/>
              <w:rPr>
                <w:rFonts w:ascii="宋体" w:hAnsi="宋体" w:cs="宋体"/>
                <w:kern w:val="0"/>
                <w:sz w:val="20"/>
                <w:szCs w:val="20"/>
              </w:rPr>
            </w:pPr>
            <w:r>
              <w:rPr>
                <w:rFonts w:hint="eastAsia" w:ascii="宋体" w:hAnsi="宋体" w:cs="宋体"/>
                <w:kern w:val="0"/>
                <w:sz w:val="20"/>
                <w:szCs w:val="20"/>
              </w:rPr>
              <w:t>金额</w:t>
            </w:r>
            <w:r>
              <w:rPr>
                <w:rFonts w:ascii="宋体" w:hAnsi="宋体" w:cs="宋体"/>
                <w:kern w:val="0"/>
                <w:sz w:val="20"/>
                <w:szCs w:val="20"/>
              </w:rPr>
              <w:t>(元)</w:t>
            </w:r>
          </w:p>
        </w:tc>
        <w:tc>
          <w:tcPr>
            <w:tcW w:w="1560" w:type="dxa"/>
            <w:tcBorders>
              <w:top w:val="single" w:color="auto" w:sz="4" w:space="0"/>
              <w:left w:val="nil"/>
              <w:bottom w:val="single" w:color="000000" w:sz="4" w:space="0"/>
              <w:right w:val="single" w:color="auto" w:sz="4" w:space="0"/>
            </w:tcBorders>
            <w:shd w:val="clear" w:color="000000" w:fill="FFFFFF"/>
            <w:vAlign w:val="center"/>
          </w:tcPr>
          <w:p w14:paraId="02B88648">
            <w:pPr>
              <w:widowControl/>
              <w:jc w:val="center"/>
              <w:rPr>
                <w:rFonts w:ascii="宋体" w:hAnsi="宋体" w:cs="宋体"/>
                <w:kern w:val="0"/>
                <w:sz w:val="20"/>
                <w:szCs w:val="20"/>
              </w:rPr>
            </w:pPr>
            <w:r>
              <w:rPr>
                <w:rFonts w:hint="eastAsia" w:ascii="宋体" w:hAnsi="宋体" w:cs="宋体"/>
                <w:kern w:val="0"/>
                <w:sz w:val="20"/>
                <w:szCs w:val="20"/>
              </w:rPr>
              <w:t>备注</w:t>
            </w:r>
          </w:p>
        </w:tc>
      </w:tr>
      <w:tr w14:paraId="76862225">
        <w:tblPrEx>
          <w:tblCellMar>
            <w:top w:w="0" w:type="dxa"/>
            <w:left w:w="108" w:type="dxa"/>
            <w:bottom w:w="0" w:type="dxa"/>
            <w:right w:w="108" w:type="dxa"/>
          </w:tblCellMar>
        </w:tblPrEx>
        <w:trPr>
          <w:trHeight w:val="462" w:hRule="atLeast"/>
        </w:trPr>
        <w:tc>
          <w:tcPr>
            <w:tcW w:w="1575" w:type="dxa"/>
            <w:tcBorders>
              <w:top w:val="nil"/>
              <w:left w:val="single" w:color="auto" w:sz="4" w:space="0"/>
              <w:bottom w:val="single" w:color="auto" w:sz="4" w:space="0"/>
              <w:right w:val="single" w:color="auto" w:sz="4" w:space="0"/>
            </w:tcBorders>
            <w:shd w:val="clear" w:color="000000" w:fill="FFFFFF"/>
            <w:noWrap/>
            <w:vAlign w:val="center"/>
          </w:tcPr>
          <w:p w14:paraId="78C79270">
            <w:pPr>
              <w:widowControl/>
              <w:jc w:val="center"/>
              <w:rPr>
                <w:rFonts w:ascii="宋体" w:hAnsi="宋体" w:cs="宋体"/>
                <w:kern w:val="0"/>
                <w:sz w:val="18"/>
                <w:szCs w:val="18"/>
              </w:rPr>
            </w:pPr>
          </w:p>
        </w:tc>
        <w:tc>
          <w:tcPr>
            <w:tcW w:w="3402" w:type="dxa"/>
            <w:tcBorders>
              <w:top w:val="single" w:color="auto" w:sz="4" w:space="0"/>
              <w:left w:val="nil"/>
              <w:bottom w:val="single" w:color="auto" w:sz="4" w:space="0"/>
              <w:right w:val="single" w:color="000000" w:sz="4" w:space="0"/>
            </w:tcBorders>
            <w:shd w:val="clear" w:color="000000" w:fill="FFFFFF"/>
            <w:vAlign w:val="center"/>
          </w:tcPr>
          <w:p w14:paraId="68B43083">
            <w:pPr>
              <w:widowControl/>
              <w:jc w:val="center"/>
              <w:rPr>
                <w:rFonts w:ascii="宋体" w:hAnsi="宋体" w:cs="宋体"/>
                <w:kern w:val="0"/>
                <w:sz w:val="18"/>
                <w:szCs w:val="18"/>
              </w:rPr>
            </w:pPr>
          </w:p>
        </w:tc>
        <w:tc>
          <w:tcPr>
            <w:tcW w:w="1842" w:type="dxa"/>
            <w:tcBorders>
              <w:top w:val="nil"/>
              <w:left w:val="nil"/>
              <w:bottom w:val="single" w:color="auto" w:sz="4" w:space="0"/>
              <w:right w:val="single" w:color="auto" w:sz="4" w:space="0"/>
            </w:tcBorders>
            <w:shd w:val="clear" w:color="000000" w:fill="FFFFFF"/>
            <w:noWrap/>
            <w:vAlign w:val="center"/>
          </w:tcPr>
          <w:p w14:paraId="6D42FF60">
            <w:pPr>
              <w:widowControl/>
              <w:jc w:val="center"/>
              <w:rPr>
                <w:rFonts w:ascii="宋体" w:hAnsi="宋体" w:cs="宋体"/>
                <w:kern w:val="0"/>
                <w:sz w:val="18"/>
                <w:szCs w:val="18"/>
              </w:rPr>
            </w:pPr>
          </w:p>
        </w:tc>
        <w:tc>
          <w:tcPr>
            <w:tcW w:w="1560" w:type="dxa"/>
            <w:tcBorders>
              <w:top w:val="nil"/>
              <w:left w:val="nil"/>
              <w:bottom w:val="single" w:color="auto" w:sz="4" w:space="0"/>
              <w:right w:val="single" w:color="auto" w:sz="4" w:space="0"/>
            </w:tcBorders>
            <w:shd w:val="clear" w:color="000000" w:fill="FFFFFF"/>
            <w:vAlign w:val="center"/>
          </w:tcPr>
          <w:p w14:paraId="542690EA">
            <w:pPr>
              <w:widowControl/>
              <w:jc w:val="center"/>
              <w:rPr>
                <w:rFonts w:ascii="宋体" w:hAnsi="宋体" w:cs="宋体"/>
                <w:kern w:val="0"/>
                <w:sz w:val="18"/>
                <w:szCs w:val="18"/>
              </w:rPr>
            </w:pPr>
          </w:p>
        </w:tc>
      </w:tr>
      <w:tr w14:paraId="300CD1F7">
        <w:tblPrEx>
          <w:tblCellMar>
            <w:top w:w="0" w:type="dxa"/>
            <w:left w:w="108" w:type="dxa"/>
            <w:bottom w:w="0" w:type="dxa"/>
            <w:right w:w="108" w:type="dxa"/>
          </w:tblCellMar>
        </w:tblPrEx>
        <w:trPr>
          <w:trHeight w:val="462" w:hRule="atLeast"/>
        </w:trPr>
        <w:tc>
          <w:tcPr>
            <w:tcW w:w="1575" w:type="dxa"/>
            <w:tcBorders>
              <w:top w:val="nil"/>
              <w:left w:val="single" w:color="auto" w:sz="4" w:space="0"/>
              <w:bottom w:val="single" w:color="auto" w:sz="4" w:space="0"/>
              <w:right w:val="single" w:color="auto" w:sz="4" w:space="0"/>
            </w:tcBorders>
            <w:shd w:val="clear" w:color="000000" w:fill="FFFFFF"/>
            <w:noWrap/>
            <w:vAlign w:val="center"/>
          </w:tcPr>
          <w:p w14:paraId="5A156A5E">
            <w:pPr>
              <w:widowControl/>
              <w:jc w:val="center"/>
              <w:rPr>
                <w:rFonts w:ascii="宋体" w:hAnsi="宋体" w:cs="宋体"/>
                <w:kern w:val="0"/>
                <w:sz w:val="18"/>
                <w:szCs w:val="18"/>
              </w:rPr>
            </w:pPr>
          </w:p>
        </w:tc>
        <w:tc>
          <w:tcPr>
            <w:tcW w:w="3402" w:type="dxa"/>
            <w:tcBorders>
              <w:top w:val="single" w:color="auto" w:sz="4" w:space="0"/>
              <w:left w:val="nil"/>
              <w:bottom w:val="single" w:color="auto" w:sz="4" w:space="0"/>
              <w:right w:val="single" w:color="000000" w:sz="4" w:space="0"/>
            </w:tcBorders>
            <w:shd w:val="clear" w:color="000000" w:fill="FFFFFF"/>
            <w:vAlign w:val="center"/>
          </w:tcPr>
          <w:p w14:paraId="6E09C588">
            <w:pPr>
              <w:widowControl/>
              <w:jc w:val="center"/>
              <w:rPr>
                <w:rFonts w:ascii="宋体" w:hAnsi="宋体" w:cs="宋体"/>
                <w:kern w:val="0"/>
                <w:sz w:val="18"/>
                <w:szCs w:val="18"/>
              </w:rPr>
            </w:pPr>
          </w:p>
        </w:tc>
        <w:tc>
          <w:tcPr>
            <w:tcW w:w="1842" w:type="dxa"/>
            <w:tcBorders>
              <w:top w:val="nil"/>
              <w:left w:val="nil"/>
              <w:bottom w:val="single" w:color="auto" w:sz="4" w:space="0"/>
              <w:right w:val="single" w:color="auto" w:sz="4" w:space="0"/>
            </w:tcBorders>
            <w:shd w:val="clear" w:color="000000" w:fill="FFFFFF"/>
            <w:noWrap/>
            <w:vAlign w:val="center"/>
          </w:tcPr>
          <w:p w14:paraId="49E0D6ED">
            <w:pPr>
              <w:widowControl/>
              <w:jc w:val="center"/>
              <w:rPr>
                <w:rFonts w:ascii="宋体" w:hAnsi="宋体" w:cs="宋体"/>
                <w:kern w:val="0"/>
                <w:sz w:val="18"/>
                <w:szCs w:val="18"/>
              </w:rPr>
            </w:pPr>
          </w:p>
        </w:tc>
        <w:tc>
          <w:tcPr>
            <w:tcW w:w="1560" w:type="dxa"/>
            <w:tcBorders>
              <w:top w:val="nil"/>
              <w:left w:val="nil"/>
              <w:bottom w:val="single" w:color="auto" w:sz="4" w:space="0"/>
              <w:right w:val="single" w:color="auto" w:sz="4" w:space="0"/>
            </w:tcBorders>
            <w:shd w:val="clear" w:color="000000" w:fill="FFFFFF"/>
            <w:vAlign w:val="center"/>
          </w:tcPr>
          <w:p w14:paraId="59190030">
            <w:pPr>
              <w:widowControl/>
              <w:jc w:val="center"/>
              <w:rPr>
                <w:rFonts w:ascii="宋体" w:hAnsi="宋体" w:cs="宋体"/>
                <w:kern w:val="0"/>
                <w:sz w:val="18"/>
                <w:szCs w:val="18"/>
              </w:rPr>
            </w:pPr>
          </w:p>
        </w:tc>
      </w:tr>
      <w:tr w14:paraId="6CF17D99">
        <w:tblPrEx>
          <w:tblCellMar>
            <w:top w:w="0" w:type="dxa"/>
            <w:left w:w="108" w:type="dxa"/>
            <w:bottom w:w="0" w:type="dxa"/>
            <w:right w:w="108" w:type="dxa"/>
          </w:tblCellMar>
        </w:tblPrEx>
        <w:trPr>
          <w:trHeight w:val="462" w:hRule="atLeast"/>
        </w:trPr>
        <w:tc>
          <w:tcPr>
            <w:tcW w:w="1575" w:type="dxa"/>
            <w:tcBorders>
              <w:top w:val="nil"/>
              <w:left w:val="single" w:color="auto" w:sz="4" w:space="0"/>
              <w:bottom w:val="single" w:color="auto" w:sz="4" w:space="0"/>
              <w:right w:val="single" w:color="auto" w:sz="4" w:space="0"/>
            </w:tcBorders>
            <w:shd w:val="clear" w:color="000000" w:fill="FFFFFF"/>
            <w:noWrap/>
            <w:vAlign w:val="center"/>
          </w:tcPr>
          <w:p w14:paraId="2030D485">
            <w:pPr>
              <w:widowControl/>
              <w:jc w:val="center"/>
              <w:rPr>
                <w:rFonts w:ascii="宋体" w:hAnsi="宋体" w:cs="宋体"/>
                <w:kern w:val="0"/>
                <w:sz w:val="18"/>
                <w:szCs w:val="18"/>
              </w:rPr>
            </w:pPr>
          </w:p>
        </w:tc>
        <w:tc>
          <w:tcPr>
            <w:tcW w:w="3402" w:type="dxa"/>
            <w:tcBorders>
              <w:top w:val="single" w:color="auto" w:sz="4" w:space="0"/>
              <w:left w:val="nil"/>
              <w:bottom w:val="single" w:color="auto" w:sz="4" w:space="0"/>
              <w:right w:val="single" w:color="000000" w:sz="4" w:space="0"/>
            </w:tcBorders>
            <w:shd w:val="clear" w:color="000000" w:fill="FFFFFF"/>
            <w:vAlign w:val="center"/>
          </w:tcPr>
          <w:p w14:paraId="1FD81133">
            <w:pPr>
              <w:widowControl/>
              <w:jc w:val="center"/>
              <w:rPr>
                <w:rFonts w:ascii="宋体" w:hAnsi="宋体" w:cs="宋体"/>
                <w:kern w:val="0"/>
                <w:sz w:val="18"/>
                <w:szCs w:val="18"/>
              </w:rPr>
            </w:pPr>
          </w:p>
        </w:tc>
        <w:tc>
          <w:tcPr>
            <w:tcW w:w="1842" w:type="dxa"/>
            <w:tcBorders>
              <w:top w:val="nil"/>
              <w:left w:val="nil"/>
              <w:bottom w:val="single" w:color="auto" w:sz="4" w:space="0"/>
              <w:right w:val="single" w:color="auto" w:sz="4" w:space="0"/>
            </w:tcBorders>
            <w:shd w:val="clear" w:color="000000" w:fill="FFFFFF"/>
            <w:noWrap/>
            <w:vAlign w:val="center"/>
          </w:tcPr>
          <w:p w14:paraId="04665145">
            <w:pPr>
              <w:widowControl/>
              <w:jc w:val="center"/>
              <w:rPr>
                <w:rFonts w:ascii="宋体" w:hAnsi="宋体" w:cs="宋体"/>
                <w:kern w:val="0"/>
                <w:sz w:val="18"/>
                <w:szCs w:val="18"/>
              </w:rPr>
            </w:pPr>
          </w:p>
        </w:tc>
        <w:tc>
          <w:tcPr>
            <w:tcW w:w="1560" w:type="dxa"/>
            <w:tcBorders>
              <w:top w:val="nil"/>
              <w:left w:val="nil"/>
              <w:bottom w:val="single" w:color="auto" w:sz="4" w:space="0"/>
              <w:right w:val="single" w:color="auto" w:sz="4" w:space="0"/>
            </w:tcBorders>
            <w:shd w:val="clear" w:color="000000" w:fill="FFFFFF"/>
            <w:vAlign w:val="center"/>
          </w:tcPr>
          <w:p w14:paraId="27F306EE">
            <w:pPr>
              <w:widowControl/>
              <w:jc w:val="center"/>
              <w:rPr>
                <w:rFonts w:ascii="宋体" w:hAnsi="宋体" w:cs="宋体"/>
                <w:kern w:val="0"/>
                <w:sz w:val="18"/>
                <w:szCs w:val="18"/>
              </w:rPr>
            </w:pPr>
          </w:p>
        </w:tc>
      </w:tr>
      <w:tr w14:paraId="35412E44">
        <w:tblPrEx>
          <w:tblCellMar>
            <w:top w:w="0" w:type="dxa"/>
            <w:left w:w="108" w:type="dxa"/>
            <w:bottom w:w="0" w:type="dxa"/>
            <w:right w:w="108" w:type="dxa"/>
          </w:tblCellMar>
        </w:tblPrEx>
        <w:trPr>
          <w:trHeight w:val="462" w:hRule="atLeast"/>
        </w:trPr>
        <w:tc>
          <w:tcPr>
            <w:tcW w:w="1575" w:type="dxa"/>
            <w:tcBorders>
              <w:top w:val="nil"/>
              <w:left w:val="single" w:color="auto" w:sz="4" w:space="0"/>
              <w:bottom w:val="single" w:color="auto" w:sz="4" w:space="0"/>
              <w:right w:val="single" w:color="auto" w:sz="4" w:space="0"/>
            </w:tcBorders>
            <w:shd w:val="clear" w:color="000000" w:fill="FFFFFF"/>
            <w:noWrap/>
            <w:vAlign w:val="center"/>
          </w:tcPr>
          <w:p w14:paraId="6A254812">
            <w:pPr>
              <w:widowControl/>
              <w:jc w:val="center"/>
              <w:rPr>
                <w:rFonts w:ascii="宋体" w:hAnsi="宋体" w:cs="宋体"/>
                <w:kern w:val="0"/>
                <w:sz w:val="18"/>
                <w:szCs w:val="18"/>
              </w:rPr>
            </w:pPr>
          </w:p>
        </w:tc>
        <w:tc>
          <w:tcPr>
            <w:tcW w:w="3402" w:type="dxa"/>
            <w:tcBorders>
              <w:top w:val="single" w:color="auto" w:sz="4" w:space="0"/>
              <w:left w:val="nil"/>
              <w:bottom w:val="single" w:color="auto" w:sz="4" w:space="0"/>
              <w:right w:val="single" w:color="000000" w:sz="4" w:space="0"/>
            </w:tcBorders>
            <w:shd w:val="clear" w:color="000000" w:fill="FFFFFF"/>
            <w:vAlign w:val="center"/>
          </w:tcPr>
          <w:p w14:paraId="11CFD4DE">
            <w:pPr>
              <w:widowControl/>
              <w:jc w:val="center"/>
              <w:rPr>
                <w:rFonts w:ascii="宋体" w:hAnsi="宋体" w:cs="宋体"/>
                <w:kern w:val="0"/>
                <w:sz w:val="18"/>
                <w:szCs w:val="18"/>
              </w:rPr>
            </w:pPr>
          </w:p>
        </w:tc>
        <w:tc>
          <w:tcPr>
            <w:tcW w:w="1842" w:type="dxa"/>
            <w:tcBorders>
              <w:top w:val="nil"/>
              <w:left w:val="nil"/>
              <w:bottom w:val="single" w:color="auto" w:sz="4" w:space="0"/>
              <w:right w:val="single" w:color="auto" w:sz="4" w:space="0"/>
            </w:tcBorders>
            <w:shd w:val="clear" w:color="000000" w:fill="FFFFFF"/>
            <w:noWrap/>
            <w:vAlign w:val="center"/>
          </w:tcPr>
          <w:p w14:paraId="14DB23E7">
            <w:pPr>
              <w:widowControl/>
              <w:jc w:val="center"/>
              <w:rPr>
                <w:rFonts w:ascii="宋体" w:hAnsi="宋体" w:cs="宋体"/>
                <w:kern w:val="0"/>
                <w:sz w:val="18"/>
                <w:szCs w:val="18"/>
              </w:rPr>
            </w:pPr>
          </w:p>
        </w:tc>
        <w:tc>
          <w:tcPr>
            <w:tcW w:w="1560" w:type="dxa"/>
            <w:tcBorders>
              <w:top w:val="nil"/>
              <w:left w:val="nil"/>
              <w:bottom w:val="single" w:color="auto" w:sz="4" w:space="0"/>
              <w:right w:val="single" w:color="auto" w:sz="4" w:space="0"/>
            </w:tcBorders>
            <w:shd w:val="clear" w:color="000000" w:fill="FFFFFF"/>
            <w:vAlign w:val="center"/>
          </w:tcPr>
          <w:p w14:paraId="310CD756">
            <w:pPr>
              <w:widowControl/>
              <w:jc w:val="center"/>
              <w:rPr>
                <w:rFonts w:ascii="宋体" w:hAnsi="宋体" w:cs="宋体"/>
                <w:kern w:val="0"/>
                <w:sz w:val="18"/>
                <w:szCs w:val="18"/>
              </w:rPr>
            </w:pPr>
          </w:p>
        </w:tc>
      </w:tr>
      <w:tr w14:paraId="4CCED1FC">
        <w:tblPrEx>
          <w:tblCellMar>
            <w:top w:w="0" w:type="dxa"/>
            <w:left w:w="108" w:type="dxa"/>
            <w:bottom w:w="0" w:type="dxa"/>
            <w:right w:w="108" w:type="dxa"/>
          </w:tblCellMar>
        </w:tblPrEx>
        <w:trPr>
          <w:trHeight w:val="46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14:paraId="2AC0AA7B">
            <w:pPr>
              <w:widowControl/>
              <w:jc w:val="center"/>
              <w:rPr>
                <w:rFonts w:ascii="宋体" w:hAnsi="宋体" w:cs="宋体"/>
                <w:kern w:val="0"/>
                <w:sz w:val="20"/>
                <w:szCs w:val="20"/>
              </w:rPr>
            </w:pPr>
          </w:p>
        </w:tc>
        <w:tc>
          <w:tcPr>
            <w:tcW w:w="3402" w:type="dxa"/>
            <w:tcBorders>
              <w:top w:val="single" w:color="auto" w:sz="4" w:space="0"/>
              <w:left w:val="nil"/>
              <w:bottom w:val="single" w:color="auto" w:sz="4" w:space="0"/>
              <w:right w:val="single" w:color="000000" w:sz="4" w:space="0"/>
            </w:tcBorders>
            <w:shd w:val="clear" w:color="auto" w:fill="auto"/>
            <w:noWrap/>
            <w:vAlign w:val="center"/>
          </w:tcPr>
          <w:p w14:paraId="68458BF1">
            <w:pPr>
              <w:widowControl/>
              <w:jc w:val="center"/>
              <w:rPr>
                <w:rFonts w:ascii="宋体" w:hAnsi="宋体" w:cs="宋体"/>
                <w:kern w:val="0"/>
                <w:sz w:val="20"/>
                <w:szCs w:val="20"/>
              </w:rPr>
            </w:pPr>
          </w:p>
        </w:tc>
        <w:tc>
          <w:tcPr>
            <w:tcW w:w="1842" w:type="dxa"/>
            <w:tcBorders>
              <w:top w:val="nil"/>
              <w:left w:val="nil"/>
              <w:bottom w:val="single" w:color="auto" w:sz="4" w:space="0"/>
              <w:right w:val="single" w:color="auto" w:sz="4" w:space="0"/>
            </w:tcBorders>
            <w:shd w:val="clear" w:color="auto" w:fill="auto"/>
            <w:noWrap/>
            <w:vAlign w:val="center"/>
          </w:tcPr>
          <w:p w14:paraId="73CAD1C3">
            <w:pPr>
              <w:widowControl/>
              <w:jc w:val="center"/>
              <w:rPr>
                <w:rFonts w:ascii="宋体" w:hAnsi="宋体" w:cs="宋体"/>
                <w:kern w:val="0"/>
                <w:sz w:val="20"/>
                <w:szCs w:val="20"/>
              </w:rPr>
            </w:pPr>
          </w:p>
        </w:tc>
        <w:tc>
          <w:tcPr>
            <w:tcW w:w="1560" w:type="dxa"/>
            <w:tcBorders>
              <w:top w:val="nil"/>
              <w:left w:val="nil"/>
              <w:bottom w:val="single" w:color="auto" w:sz="4" w:space="0"/>
              <w:right w:val="single" w:color="auto" w:sz="4" w:space="0"/>
            </w:tcBorders>
            <w:shd w:val="clear" w:color="auto" w:fill="auto"/>
            <w:noWrap/>
            <w:vAlign w:val="center"/>
          </w:tcPr>
          <w:p w14:paraId="68711A01">
            <w:pPr>
              <w:widowControl/>
              <w:jc w:val="center"/>
              <w:rPr>
                <w:rFonts w:ascii="宋体" w:hAnsi="宋体" w:cs="宋体"/>
                <w:kern w:val="0"/>
                <w:sz w:val="20"/>
                <w:szCs w:val="20"/>
              </w:rPr>
            </w:pPr>
          </w:p>
        </w:tc>
      </w:tr>
      <w:tr w14:paraId="01D0589E">
        <w:tblPrEx>
          <w:tblCellMar>
            <w:top w:w="0" w:type="dxa"/>
            <w:left w:w="108" w:type="dxa"/>
            <w:bottom w:w="0" w:type="dxa"/>
            <w:right w:w="108" w:type="dxa"/>
          </w:tblCellMar>
        </w:tblPrEx>
        <w:trPr>
          <w:trHeight w:val="46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14:paraId="4BE7A6E0">
            <w:pPr>
              <w:widowControl/>
              <w:jc w:val="center"/>
              <w:rPr>
                <w:rFonts w:ascii="宋体" w:hAnsi="宋体" w:cs="宋体"/>
                <w:kern w:val="0"/>
                <w:sz w:val="20"/>
                <w:szCs w:val="20"/>
              </w:rPr>
            </w:pPr>
          </w:p>
        </w:tc>
        <w:tc>
          <w:tcPr>
            <w:tcW w:w="3402" w:type="dxa"/>
            <w:tcBorders>
              <w:top w:val="single" w:color="auto" w:sz="4" w:space="0"/>
              <w:left w:val="nil"/>
              <w:bottom w:val="single" w:color="auto" w:sz="4" w:space="0"/>
              <w:right w:val="single" w:color="000000" w:sz="4" w:space="0"/>
            </w:tcBorders>
            <w:shd w:val="clear" w:color="auto" w:fill="auto"/>
            <w:noWrap/>
            <w:vAlign w:val="center"/>
          </w:tcPr>
          <w:p w14:paraId="557B7711">
            <w:pPr>
              <w:widowControl/>
              <w:jc w:val="center"/>
              <w:rPr>
                <w:rFonts w:ascii="宋体" w:hAnsi="宋体" w:cs="宋体"/>
                <w:kern w:val="0"/>
                <w:sz w:val="20"/>
                <w:szCs w:val="20"/>
              </w:rPr>
            </w:pPr>
          </w:p>
        </w:tc>
        <w:tc>
          <w:tcPr>
            <w:tcW w:w="1842" w:type="dxa"/>
            <w:tcBorders>
              <w:top w:val="nil"/>
              <w:left w:val="nil"/>
              <w:bottom w:val="single" w:color="auto" w:sz="4" w:space="0"/>
              <w:right w:val="single" w:color="auto" w:sz="4" w:space="0"/>
            </w:tcBorders>
            <w:shd w:val="clear" w:color="auto" w:fill="auto"/>
            <w:noWrap/>
            <w:vAlign w:val="center"/>
          </w:tcPr>
          <w:p w14:paraId="1AADD324">
            <w:pPr>
              <w:widowControl/>
              <w:jc w:val="center"/>
              <w:rPr>
                <w:rFonts w:ascii="宋体" w:hAnsi="宋体" w:cs="宋体"/>
                <w:kern w:val="0"/>
                <w:sz w:val="20"/>
                <w:szCs w:val="20"/>
              </w:rPr>
            </w:pPr>
          </w:p>
        </w:tc>
        <w:tc>
          <w:tcPr>
            <w:tcW w:w="1560" w:type="dxa"/>
            <w:tcBorders>
              <w:top w:val="nil"/>
              <w:left w:val="nil"/>
              <w:bottom w:val="single" w:color="auto" w:sz="4" w:space="0"/>
              <w:right w:val="single" w:color="auto" w:sz="4" w:space="0"/>
            </w:tcBorders>
            <w:shd w:val="clear" w:color="auto" w:fill="auto"/>
            <w:noWrap/>
            <w:vAlign w:val="center"/>
          </w:tcPr>
          <w:p w14:paraId="13E27B5F">
            <w:pPr>
              <w:widowControl/>
              <w:jc w:val="center"/>
              <w:rPr>
                <w:rFonts w:ascii="宋体" w:hAnsi="宋体" w:cs="宋体"/>
                <w:kern w:val="0"/>
                <w:sz w:val="20"/>
                <w:szCs w:val="20"/>
              </w:rPr>
            </w:pPr>
          </w:p>
        </w:tc>
      </w:tr>
      <w:tr w14:paraId="68AB2F9C">
        <w:tblPrEx>
          <w:tblCellMar>
            <w:top w:w="0" w:type="dxa"/>
            <w:left w:w="108" w:type="dxa"/>
            <w:bottom w:w="0" w:type="dxa"/>
            <w:right w:w="108" w:type="dxa"/>
          </w:tblCellMar>
        </w:tblPrEx>
        <w:trPr>
          <w:trHeight w:val="46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14:paraId="4B07CEE1">
            <w:pPr>
              <w:widowControl/>
              <w:jc w:val="center"/>
              <w:rPr>
                <w:rFonts w:ascii="宋体" w:hAnsi="宋体" w:cs="宋体"/>
                <w:kern w:val="0"/>
                <w:sz w:val="20"/>
                <w:szCs w:val="20"/>
              </w:rPr>
            </w:pPr>
          </w:p>
        </w:tc>
        <w:tc>
          <w:tcPr>
            <w:tcW w:w="3402" w:type="dxa"/>
            <w:tcBorders>
              <w:top w:val="single" w:color="auto" w:sz="4" w:space="0"/>
              <w:left w:val="nil"/>
              <w:bottom w:val="single" w:color="auto" w:sz="4" w:space="0"/>
              <w:right w:val="single" w:color="000000" w:sz="4" w:space="0"/>
            </w:tcBorders>
            <w:shd w:val="clear" w:color="auto" w:fill="auto"/>
            <w:noWrap/>
            <w:vAlign w:val="center"/>
          </w:tcPr>
          <w:p w14:paraId="73059D92">
            <w:pPr>
              <w:widowControl/>
              <w:jc w:val="center"/>
              <w:rPr>
                <w:rFonts w:ascii="宋体" w:hAnsi="宋体" w:cs="宋体"/>
                <w:kern w:val="0"/>
                <w:sz w:val="20"/>
                <w:szCs w:val="20"/>
              </w:rPr>
            </w:pPr>
          </w:p>
        </w:tc>
        <w:tc>
          <w:tcPr>
            <w:tcW w:w="1842" w:type="dxa"/>
            <w:tcBorders>
              <w:top w:val="nil"/>
              <w:left w:val="nil"/>
              <w:bottom w:val="single" w:color="auto" w:sz="4" w:space="0"/>
              <w:right w:val="single" w:color="auto" w:sz="4" w:space="0"/>
            </w:tcBorders>
            <w:shd w:val="clear" w:color="auto" w:fill="auto"/>
            <w:noWrap/>
            <w:vAlign w:val="center"/>
          </w:tcPr>
          <w:p w14:paraId="6236B306">
            <w:pPr>
              <w:widowControl/>
              <w:jc w:val="center"/>
              <w:rPr>
                <w:rFonts w:ascii="宋体" w:hAnsi="宋体" w:cs="宋体"/>
                <w:kern w:val="0"/>
                <w:sz w:val="20"/>
                <w:szCs w:val="20"/>
              </w:rPr>
            </w:pPr>
          </w:p>
        </w:tc>
        <w:tc>
          <w:tcPr>
            <w:tcW w:w="1560" w:type="dxa"/>
            <w:tcBorders>
              <w:top w:val="nil"/>
              <w:left w:val="nil"/>
              <w:bottom w:val="single" w:color="auto" w:sz="4" w:space="0"/>
              <w:right w:val="single" w:color="auto" w:sz="4" w:space="0"/>
            </w:tcBorders>
            <w:shd w:val="clear" w:color="auto" w:fill="auto"/>
            <w:noWrap/>
            <w:vAlign w:val="center"/>
          </w:tcPr>
          <w:p w14:paraId="4F51AE37">
            <w:pPr>
              <w:widowControl/>
              <w:jc w:val="center"/>
              <w:rPr>
                <w:rFonts w:ascii="宋体" w:hAnsi="宋体" w:cs="宋体"/>
                <w:kern w:val="0"/>
                <w:sz w:val="20"/>
                <w:szCs w:val="20"/>
              </w:rPr>
            </w:pPr>
          </w:p>
        </w:tc>
      </w:tr>
      <w:tr w14:paraId="1FA9DC00">
        <w:tblPrEx>
          <w:tblCellMar>
            <w:top w:w="0" w:type="dxa"/>
            <w:left w:w="108" w:type="dxa"/>
            <w:bottom w:w="0" w:type="dxa"/>
            <w:right w:w="108" w:type="dxa"/>
          </w:tblCellMar>
        </w:tblPrEx>
        <w:trPr>
          <w:trHeight w:val="46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14:paraId="01BCE54D">
            <w:pPr>
              <w:widowControl/>
              <w:jc w:val="center"/>
              <w:rPr>
                <w:rFonts w:ascii="宋体" w:hAnsi="宋体" w:cs="宋体"/>
                <w:kern w:val="0"/>
                <w:sz w:val="20"/>
                <w:szCs w:val="20"/>
              </w:rPr>
            </w:pPr>
          </w:p>
        </w:tc>
        <w:tc>
          <w:tcPr>
            <w:tcW w:w="3402" w:type="dxa"/>
            <w:tcBorders>
              <w:top w:val="single" w:color="auto" w:sz="4" w:space="0"/>
              <w:left w:val="nil"/>
              <w:bottom w:val="single" w:color="auto" w:sz="4" w:space="0"/>
              <w:right w:val="single" w:color="000000" w:sz="4" w:space="0"/>
            </w:tcBorders>
            <w:shd w:val="clear" w:color="auto" w:fill="auto"/>
            <w:noWrap/>
            <w:vAlign w:val="center"/>
          </w:tcPr>
          <w:p w14:paraId="52F60026">
            <w:pPr>
              <w:widowControl/>
              <w:jc w:val="center"/>
              <w:rPr>
                <w:rFonts w:ascii="宋体" w:hAnsi="宋体" w:cs="宋体"/>
                <w:kern w:val="0"/>
                <w:sz w:val="20"/>
                <w:szCs w:val="20"/>
              </w:rPr>
            </w:pPr>
          </w:p>
        </w:tc>
        <w:tc>
          <w:tcPr>
            <w:tcW w:w="1842" w:type="dxa"/>
            <w:tcBorders>
              <w:top w:val="nil"/>
              <w:left w:val="nil"/>
              <w:bottom w:val="single" w:color="auto" w:sz="4" w:space="0"/>
              <w:right w:val="single" w:color="auto" w:sz="4" w:space="0"/>
            </w:tcBorders>
            <w:shd w:val="clear" w:color="auto" w:fill="auto"/>
            <w:noWrap/>
            <w:vAlign w:val="center"/>
          </w:tcPr>
          <w:p w14:paraId="2BE16C4A">
            <w:pPr>
              <w:widowControl/>
              <w:jc w:val="center"/>
              <w:rPr>
                <w:rFonts w:ascii="宋体" w:hAnsi="宋体" w:cs="宋体"/>
                <w:kern w:val="0"/>
                <w:sz w:val="20"/>
                <w:szCs w:val="20"/>
              </w:rPr>
            </w:pPr>
          </w:p>
        </w:tc>
        <w:tc>
          <w:tcPr>
            <w:tcW w:w="1560" w:type="dxa"/>
            <w:tcBorders>
              <w:top w:val="nil"/>
              <w:left w:val="nil"/>
              <w:bottom w:val="single" w:color="auto" w:sz="4" w:space="0"/>
              <w:right w:val="single" w:color="auto" w:sz="4" w:space="0"/>
            </w:tcBorders>
            <w:shd w:val="clear" w:color="auto" w:fill="auto"/>
            <w:noWrap/>
            <w:vAlign w:val="center"/>
          </w:tcPr>
          <w:p w14:paraId="19D5305C">
            <w:pPr>
              <w:widowControl/>
              <w:jc w:val="center"/>
              <w:rPr>
                <w:rFonts w:ascii="宋体" w:hAnsi="宋体" w:cs="宋体"/>
                <w:kern w:val="0"/>
                <w:sz w:val="20"/>
                <w:szCs w:val="20"/>
              </w:rPr>
            </w:pPr>
          </w:p>
        </w:tc>
      </w:tr>
      <w:tr w14:paraId="6CB69B12">
        <w:trPr>
          <w:trHeight w:val="462" w:hRule="atLeast"/>
        </w:trPr>
        <w:tc>
          <w:tcPr>
            <w:tcW w:w="1575" w:type="dxa"/>
            <w:tcBorders>
              <w:top w:val="nil"/>
              <w:left w:val="single" w:color="auto" w:sz="4" w:space="0"/>
              <w:bottom w:val="single" w:color="auto" w:sz="4" w:space="0"/>
              <w:right w:val="single" w:color="auto" w:sz="4" w:space="0"/>
            </w:tcBorders>
            <w:shd w:val="clear" w:color="auto" w:fill="auto"/>
            <w:noWrap/>
            <w:vAlign w:val="center"/>
          </w:tcPr>
          <w:p w14:paraId="4E1567C4">
            <w:pPr>
              <w:widowControl/>
              <w:jc w:val="center"/>
              <w:rPr>
                <w:rFonts w:ascii="宋体" w:hAnsi="宋体" w:cs="宋体"/>
                <w:kern w:val="0"/>
                <w:sz w:val="20"/>
                <w:szCs w:val="20"/>
              </w:rPr>
            </w:pPr>
          </w:p>
        </w:tc>
        <w:tc>
          <w:tcPr>
            <w:tcW w:w="3402" w:type="dxa"/>
            <w:tcBorders>
              <w:top w:val="single" w:color="auto" w:sz="4" w:space="0"/>
              <w:left w:val="nil"/>
              <w:bottom w:val="single" w:color="auto" w:sz="4" w:space="0"/>
              <w:right w:val="single" w:color="000000" w:sz="4" w:space="0"/>
            </w:tcBorders>
            <w:shd w:val="clear" w:color="auto" w:fill="auto"/>
            <w:noWrap/>
            <w:vAlign w:val="center"/>
          </w:tcPr>
          <w:p w14:paraId="61E81B3E">
            <w:pPr>
              <w:widowControl/>
              <w:jc w:val="center"/>
              <w:rPr>
                <w:rFonts w:ascii="宋体" w:hAnsi="宋体" w:cs="宋体"/>
                <w:kern w:val="0"/>
                <w:sz w:val="20"/>
                <w:szCs w:val="20"/>
              </w:rPr>
            </w:pPr>
          </w:p>
        </w:tc>
        <w:tc>
          <w:tcPr>
            <w:tcW w:w="1842" w:type="dxa"/>
            <w:tcBorders>
              <w:top w:val="nil"/>
              <w:left w:val="nil"/>
              <w:bottom w:val="single" w:color="auto" w:sz="4" w:space="0"/>
              <w:right w:val="single" w:color="auto" w:sz="4" w:space="0"/>
            </w:tcBorders>
            <w:shd w:val="clear" w:color="auto" w:fill="auto"/>
            <w:noWrap/>
            <w:vAlign w:val="center"/>
          </w:tcPr>
          <w:p w14:paraId="7BF41529">
            <w:pPr>
              <w:widowControl/>
              <w:jc w:val="center"/>
              <w:rPr>
                <w:rFonts w:ascii="宋体" w:hAnsi="宋体" w:cs="宋体"/>
                <w:kern w:val="0"/>
                <w:sz w:val="20"/>
                <w:szCs w:val="20"/>
              </w:rPr>
            </w:pPr>
          </w:p>
        </w:tc>
        <w:tc>
          <w:tcPr>
            <w:tcW w:w="1560" w:type="dxa"/>
            <w:tcBorders>
              <w:top w:val="nil"/>
              <w:left w:val="nil"/>
              <w:bottom w:val="single" w:color="auto" w:sz="4" w:space="0"/>
              <w:right w:val="single" w:color="auto" w:sz="4" w:space="0"/>
            </w:tcBorders>
            <w:shd w:val="clear" w:color="auto" w:fill="auto"/>
            <w:noWrap/>
            <w:vAlign w:val="center"/>
          </w:tcPr>
          <w:p w14:paraId="2B548291">
            <w:pPr>
              <w:widowControl/>
              <w:jc w:val="center"/>
              <w:rPr>
                <w:rFonts w:ascii="宋体" w:hAnsi="宋体" w:cs="宋体"/>
                <w:kern w:val="0"/>
                <w:sz w:val="20"/>
                <w:szCs w:val="20"/>
              </w:rPr>
            </w:pPr>
          </w:p>
        </w:tc>
      </w:tr>
      <w:tr w14:paraId="18459A37">
        <w:tblPrEx>
          <w:tblCellMar>
            <w:top w:w="0" w:type="dxa"/>
            <w:left w:w="108" w:type="dxa"/>
            <w:bottom w:w="0" w:type="dxa"/>
            <w:right w:w="108" w:type="dxa"/>
          </w:tblCellMar>
        </w:tblPrEx>
        <w:trPr>
          <w:trHeight w:val="462" w:hRule="atLeast"/>
        </w:trPr>
        <w:tc>
          <w:tcPr>
            <w:tcW w:w="6819"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14:paraId="4A9D41AB">
            <w:pPr>
              <w:widowControl/>
              <w:jc w:val="center"/>
              <w:rPr>
                <w:rFonts w:ascii="宋体" w:hAnsi="宋体" w:cs="宋体"/>
                <w:kern w:val="0"/>
                <w:sz w:val="20"/>
                <w:szCs w:val="20"/>
              </w:rPr>
            </w:pPr>
            <w:r>
              <w:rPr>
                <w:rFonts w:hint="eastAsia" w:ascii="宋体" w:hAnsi="宋体" w:cs="宋体"/>
                <w:kern w:val="0"/>
                <w:sz w:val="20"/>
                <w:szCs w:val="20"/>
              </w:rPr>
              <w:t>本页小计</w:t>
            </w:r>
          </w:p>
        </w:tc>
        <w:tc>
          <w:tcPr>
            <w:tcW w:w="1560" w:type="dxa"/>
            <w:tcBorders>
              <w:top w:val="nil"/>
              <w:left w:val="nil"/>
              <w:bottom w:val="single" w:color="auto" w:sz="4" w:space="0"/>
              <w:right w:val="single" w:color="auto" w:sz="4" w:space="0"/>
            </w:tcBorders>
            <w:shd w:val="clear" w:color="auto" w:fill="auto"/>
            <w:noWrap/>
            <w:vAlign w:val="center"/>
          </w:tcPr>
          <w:p w14:paraId="0B906E7C">
            <w:pPr>
              <w:widowControl/>
              <w:jc w:val="center"/>
              <w:rPr>
                <w:rFonts w:ascii="宋体" w:hAnsi="宋体" w:cs="宋体"/>
                <w:kern w:val="0"/>
                <w:sz w:val="20"/>
                <w:szCs w:val="20"/>
              </w:rPr>
            </w:pPr>
          </w:p>
        </w:tc>
      </w:tr>
      <w:tr w14:paraId="2803C5CF">
        <w:tblPrEx>
          <w:tblCellMar>
            <w:top w:w="0" w:type="dxa"/>
            <w:left w:w="108" w:type="dxa"/>
            <w:bottom w:w="0" w:type="dxa"/>
            <w:right w:w="108" w:type="dxa"/>
          </w:tblCellMar>
        </w:tblPrEx>
        <w:trPr>
          <w:trHeight w:val="462" w:hRule="atLeast"/>
        </w:trPr>
        <w:tc>
          <w:tcPr>
            <w:tcW w:w="6819"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14:paraId="0C2AFF4C">
            <w:pPr>
              <w:widowControl/>
              <w:jc w:val="center"/>
              <w:rPr>
                <w:rFonts w:ascii="宋体" w:hAnsi="宋体" w:cs="宋体"/>
                <w:kern w:val="0"/>
                <w:sz w:val="20"/>
                <w:szCs w:val="20"/>
              </w:rPr>
            </w:pPr>
            <w:r>
              <w:rPr>
                <w:rFonts w:hint="eastAsia" w:ascii="宋体" w:hAnsi="宋体" w:cs="宋体"/>
                <w:kern w:val="0"/>
                <w:sz w:val="20"/>
                <w:szCs w:val="20"/>
              </w:rPr>
              <w:t>合</w:t>
            </w:r>
            <w:r>
              <w:rPr>
                <w:rFonts w:ascii="宋体" w:hAnsi="宋体" w:cs="宋体"/>
                <w:kern w:val="0"/>
                <w:sz w:val="20"/>
                <w:szCs w:val="20"/>
              </w:rPr>
              <w:t xml:space="preserve">  </w:t>
            </w:r>
            <w:r>
              <w:rPr>
                <w:rFonts w:hint="eastAsia" w:ascii="宋体" w:hAnsi="宋体" w:cs="宋体"/>
                <w:kern w:val="0"/>
                <w:sz w:val="20"/>
                <w:szCs w:val="20"/>
              </w:rPr>
              <w:t>计</w:t>
            </w:r>
          </w:p>
        </w:tc>
        <w:tc>
          <w:tcPr>
            <w:tcW w:w="1560" w:type="dxa"/>
            <w:tcBorders>
              <w:top w:val="nil"/>
              <w:left w:val="nil"/>
              <w:bottom w:val="single" w:color="auto" w:sz="4" w:space="0"/>
              <w:right w:val="single" w:color="auto" w:sz="4" w:space="0"/>
            </w:tcBorders>
            <w:shd w:val="clear" w:color="auto" w:fill="auto"/>
            <w:noWrap/>
            <w:vAlign w:val="center"/>
          </w:tcPr>
          <w:p w14:paraId="42E96AB1">
            <w:pPr>
              <w:widowControl/>
              <w:jc w:val="center"/>
              <w:rPr>
                <w:rFonts w:ascii="宋体" w:hAnsi="宋体" w:cs="宋体"/>
                <w:kern w:val="0"/>
                <w:sz w:val="20"/>
                <w:szCs w:val="20"/>
              </w:rPr>
            </w:pPr>
          </w:p>
        </w:tc>
      </w:tr>
    </w:tbl>
    <w:p w14:paraId="124C3710">
      <w:pPr>
        <w:keepNext/>
        <w:keepLines/>
        <w:spacing w:before="280" w:after="290" w:line="376" w:lineRule="auto"/>
        <w:outlineLvl w:val="3"/>
        <w:rPr>
          <w:rFonts w:ascii="Arial" w:hAnsi="Arial" w:eastAsia="黑体"/>
          <w:b/>
          <w:bCs/>
          <w:sz w:val="28"/>
          <w:szCs w:val="28"/>
        </w:rPr>
      </w:pPr>
      <w:r>
        <w:rPr>
          <w:rFonts w:hint="eastAsia" w:ascii="Arial" w:hAnsi="Arial" w:eastAsia="黑体"/>
          <w:b/>
          <w:bCs/>
          <w:sz w:val="28"/>
          <w:szCs w:val="28"/>
        </w:rPr>
        <w:t>（9）</w:t>
      </w:r>
      <w:r>
        <w:rPr>
          <w:rFonts w:hint="eastAsia" w:ascii="Arial" w:hAnsi="Arial" w:eastAsia="黑体"/>
          <w:b/>
          <w:bCs/>
          <w:kern w:val="0"/>
          <w:sz w:val="28"/>
          <w:szCs w:val="28"/>
        </w:rPr>
        <w:t>材料设备暂估价计价表</w:t>
      </w:r>
    </w:p>
    <w:tbl>
      <w:tblPr>
        <w:tblStyle w:val="50"/>
        <w:tblW w:w="8379" w:type="dxa"/>
        <w:tblInd w:w="93" w:type="dxa"/>
        <w:tblLayout w:type="autofit"/>
        <w:tblCellMar>
          <w:top w:w="0" w:type="dxa"/>
          <w:left w:w="108" w:type="dxa"/>
          <w:bottom w:w="0" w:type="dxa"/>
          <w:right w:w="108" w:type="dxa"/>
        </w:tblCellMar>
      </w:tblPr>
      <w:tblGrid>
        <w:gridCol w:w="430"/>
        <w:gridCol w:w="2420"/>
        <w:gridCol w:w="993"/>
        <w:gridCol w:w="992"/>
        <w:gridCol w:w="850"/>
        <w:gridCol w:w="993"/>
        <w:gridCol w:w="616"/>
        <w:gridCol w:w="1085"/>
      </w:tblGrid>
      <w:tr w14:paraId="07002912">
        <w:tblPrEx>
          <w:tblCellMar>
            <w:top w:w="0" w:type="dxa"/>
            <w:left w:w="108" w:type="dxa"/>
            <w:bottom w:w="0" w:type="dxa"/>
            <w:right w:w="108" w:type="dxa"/>
          </w:tblCellMar>
        </w:tblPrEx>
        <w:trPr>
          <w:trHeight w:val="668" w:hRule="atLeast"/>
        </w:trPr>
        <w:tc>
          <w:tcPr>
            <w:tcW w:w="2850" w:type="dxa"/>
            <w:gridSpan w:val="2"/>
            <w:tcBorders>
              <w:top w:val="nil"/>
              <w:left w:val="nil"/>
              <w:bottom w:val="nil"/>
              <w:right w:val="nil"/>
            </w:tcBorders>
            <w:shd w:val="clear" w:color="auto" w:fill="auto"/>
            <w:vAlign w:val="bottom"/>
          </w:tcPr>
          <w:p w14:paraId="521D72EA">
            <w:pPr>
              <w:widowControl/>
              <w:jc w:val="left"/>
              <w:rPr>
                <w:rFonts w:ascii="宋体" w:hAnsi="宋体" w:cs="宋体"/>
                <w:kern w:val="0"/>
                <w:sz w:val="20"/>
                <w:szCs w:val="20"/>
              </w:rPr>
            </w:pPr>
            <w:r>
              <w:rPr>
                <w:rFonts w:hint="eastAsia" w:ascii="宋体" w:hAnsi="宋体" w:cs="宋体"/>
                <w:kern w:val="0"/>
                <w:sz w:val="20"/>
                <w:szCs w:val="20"/>
              </w:rPr>
              <w:t>工程名称</w:t>
            </w:r>
            <w:r>
              <w:rPr>
                <w:rFonts w:ascii="宋体" w:hAnsi="宋体" w:cs="宋体"/>
                <w:kern w:val="0"/>
                <w:sz w:val="20"/>
                <w:szCs w:val="20"/>
              </w:rPr>
              <w:t xml:space="preserve">: </w:t>
            </w:r>
          </w:p>
        </w:tc>
        <w:tc>
          <w:tcPr>
            <w:tcW w:w="3828" w:type="dxa"/>
            <w:gridSpan w:val="4"/>
            <w:tcBorders>
              <w:top w:val="nil"/>
              <w:left w:val="nil"/>
              <w:bottom w:val="nil"/>
              <w:right w:val="nil"/>
            </w:tcBorders>
            <w:shd w:val="clear" w:color="auto" w:fill="auto"/>
            <w:vAlign w:val="bottom"/>
          </w:tcPr>
          <w:p w14:paraId="2F11CF00">
            <w:pPr>
              <w:widowControl/>
              <w:jc w:val="left"/>
              <w:rPr>
                <w:rFonts w:ascii="宋体" w:hAnsi="宋体" w:cs="宋体"/>
                <w:kern w:val="0"/>
                <w:sz w:val="20"/>
                <w:szCs w:val="20"/>
              </w:rPr>
            </w:pPr>
            <w:r>
              <w:rPr>
                <w:rFonts w:ascii="宋体" w:hAnsi="宋体" w:cs="宋体"/>
                <w:kern w:val="0"/>
                <w:sz w:val="20"/>
                <w:szCs w:val="20"/>
              </w:rPr>
              <w:t xml:space="preserve"> </w:t>
            </w:r>
          </w:p>
        </w:tc>
        <w:tc>
          <w:tcPr>
            <w:tcW w:w="1701" w:type="dxa"/>
            <w:gridSpan w:val="2"/>
            <w:tcBorders>
              <w:top w:val="nil"/>
              <w:left w:val="nil"/>
              <w:bottom w:val="nil"/>
              <w:right w:val="nil"/>
            </w:tcBorders>
            <w:shd w:val="clear" w:color="auto" w:fill="auto"/>
            <w:vAlign w:val="bottom"/>
          </w:tcPr>
          <w:p w14:paraId="618ADFC7">
            <w:pPr>
              <w:widowControl/>
              <w:jc w:val="right"/>
              <w:rPr>
                <w:rFonts w:ascii="宋体" w:hAnsi="宋体" w:cs="宋体"/>
                <w:kern w:val="0"/>
                <w:sz w:val="20"/>
                <w:szCs w:val="20"/>
              </w:rPr>
            </w:pPr>
            <w:r>
              <w:rPr>
                <w:rFonts w:hint="eastAsia" w:ascii="宋体" w:hAnsi="宋体" w:cs="宋体"/>
                <w:kern w:val="0"/>
                <w:sz w:val="20"/>
                <w:szCs w:val="20"/>
              </w:rPr>
              <w:t>第</w:t>
            </w:r>
            <w:r>
              <w:rPr>
                <w:rFonts w:ascii="宋体" w:hAnsi="宋体" w:cs="宋体"/>
                <w:kern w:val="0"/>
                <w:sz w:val="20"/>
                <w:szCs w:val="20"/>
              </w:rPr>
              <w:t xml:space="preserve">1页 </w:t>
            </w:r>
            <w:r>
              <w:rPr>
                <w:rFonts w:hint="eastAsia" w:ascii="宋体" w:hAnsi="宋体" w:cs="宋体"/>
                <w:kern w:val="0"/>
                <w:sz w:val="20"/>
                <w:szCs w:val="20"/>
              </w:rPr>
              <w:t>共</w:t>
            </w:r>
            <w:r>
              <w:rPr>
                <w:rFonts w:ascii="宋体" w:hAnsi="宋体" w:cs="宋体"/>
                <w:kern w:val="0"/>
                <w:sz w:val="20"/>
                <w:szCs w:val="20"/>
              </w:rPr>
              <w:t>1页</w:t>
            </w:r>
          </w:p>
        </w:tc>
      </w:tr>
      <w:tr w14:paraId="04CB0482">
        <w:tblPrEx>
          <w:tblCellMar>
            <w:top w:w="0" w:type="dxa"/>
            <w:left w:w="108" w:type="dxa"/>
            <w:bottom w:w="0" w:type="dxa"/>
            <w:right w:w="108" w:type="dxa"/>
          </w:tblCellMar>
        </w:tblPrEx>
        <w:trPr>
          <w:trHeight w:val="668" w:hRule="atLeast"/>
        </w:trPr>
        <w:tc>
          <w:tcPr>
            <w:tcW w:w="430" w:type="dxa"/>
            <w:tcBorders>
              <w:top w:val="single" w:color="auto" w:sz="4" w:space="0"/>
              <w:left w:val="single" w:color="auto" w:sz="4" w:space="0"/>
              <w:bottom w:val="single" w:color="000000" w:sz="4" w:space="0"/>
              <w:right w:val="single" w:color="000000" w:sz="4" w:space="0"/>
            </w:tcBorders>
            <w:shd w:val="clear" w:color="000000" w:fill="FFFFFF"/>
            <w:noWrap/>
            <w:vAlign w:val="center"/>
          </w:tcPr>
          <w:p w14:paraId="2CEADC5F">
            <w:pPr>
              <w:widowControl/>
              <w:jc w:val="center"/>
              <w:rPr>
                <w:rFonts w:ascii="宋体" w:hAnsi="宋体" w:cs="宋体"/>
                <w:kern w:val="0"/>
                <w:sz w:val="20"/>
                <w:szCs w:val="20"/>
              </w:rPr>
            </w:pPr>
            <w:r>
              <w:rPr>
                <w:rFonts w:hint="eastAsia" w:ascii="宋体" w:hAnsi="宋体" w:cs="宋体"/>
                <w:kern w:val="0"/>
                <w:sz w:val="20"/>
                <w:szCs w:val="20"/>
              </w:rPr>
              <w:t>序号</w:t>
            </w:r>
          </w:p>
        </w:tc>
        <w:tc>
          <w:tcPr>
            <w:tcW w:w="2420" w:type="dxa"/>
            <w:tcBorders>
              <w:top w:val="single" w:color="auto" w:sz="4" w:space="0"/>
              <w:left w:val="nil"/>
              <w:bottom w:val="single" w:color="000000" w:sz="4" w:space="0"/>
              <w:right w:val="single" w:color="000000" w:sz="4" w:space="0"/>
            </w:tcBorders>
            <w:shd w:val="clear" w:color="000000" w:fill="FFFFFF"/>
            <w:vAlign w:val="center"/>
          </w:tcPr>
          <w:p w14:paraId="6AD63638">
            <w:pPr>
              <w:widowControl/>
              <w:jc w:val="center"/>
              <w:rPr>
                <w:rFonts w:ascii="宋体" w:hAnsi="宋体" w:cs="宋体"/>
                <w:kern w:val="0"/>
                <w:sz w:val="20"/>
                <w:szCs w:val="20"/>
              </w:rPr>
            </w:pPr>
            <w:r>
              <w:rPr>
                <w:rFonts w:hint="eastAsia" w:ascii="宋体" w:hAnsi="宋体" w:cs="宋体"/>
                <w:kern w:val="0"/>
                <w:sz w:val="20"/>
                <w:szCs w:val="20"/>
              </w:rPr>
              <w:t>材料名称、规格、型号</w:t>
            </w:r>
          </w:p>
        </w:tc>
        <w:tc>
          <w:tcPr>
            <w:tcW w:w="993" w:type="dxa"/>
            <w:tcBorders>
              <w:top w:val="single" w:color="auto" w:sz="4" w:space="0"/>
              <w:left w:val="nil"/>
              <w:bottom w:val="single" w:color="000000" w:sz="4" w:space="0"/>
              <w:right w:val="single" w:color="000000" w:sz="4" w:space="0"/>
            </w:tcBorders>
            <w:shd w:val="clear" w:color="000000" w:fill="FFFFFF"/>
            <w:vAlign w:val="center"/>
          </w:tcPr>
          <w:p w14:paraId="4EF1CA75">
            <w:pPr>
              <w:widowControl/>
              <w:jc w:val="center"/>
              <w:rPr>
                <w:rFonts w:ascii="宋体" w:hAnsi="宋体" w:cs="宋体"/>
                <w:kern w:val="0"/>
                <w:sz w:val="20"/>
                <w:szCs w:val="20"/>
              </w:rPr>
            </w:pPr>
            <w:r>
              <w:rPr>
                <w:rFonts w:hint="eastAsia" w:ascii="宋体" w:hAnsi="宋体" w:cs="宋体"/>
                <w:kern w:val="0"/>
                <w:sz w:val="20"/>
                <w:szCs w:val="20"/>
              </w:rPr>
              <w:t>计量</w:t>
            </w:r>
            <w:r>
              <w:br w:type="textWrapping"/>
            </w:r>
            <w:r>
              <w:rPr>
                <w:rFonts w:hint="eastAsia" w:ascii="宋体" w:hAnsi="宋体" w:cs="宋体"/>
                <w:kern w:val="0"/>
                <w:sz w:val="20"/>
                <w:szCs w:val="20"/>
              </w:rPr>
              <w:t>单位</w:t>
            </w:r>
          </w:p>
        </w:tc>
        <w:tc>
          <w:tcPr>
            <w:tcW w:w="992" w:type="dxa"/>
            <w:tcBorders>
              <w:top w:val="single" w:color="auto" w:sz="4" w:space="0"/>
              <w:left w:val="nil"/>
              <w:bottom w:val="single" w:color="000000" w:sz="4" w:space="0"/>
              <w:right w:val="single" w:color="000000" w:sz="4" w:space="0"/>
            </w:tcBorders>
            <w:shd w:val="clear" w:color="000000" w:fill="FFFFFF"/>
            <w:vAlign w:val="center"/>
          </w:tcPr>
          <w:p w14:paraId="733E419B">
            <w:pPr>
              <w:widowControl/>
              <w:jc w:val="center"/>
              <w:rPr>
                <w:rFonts w:ascii="宋体" w:hAnsi="宋体" w:cs="宋体"/>
                <w:kern w:val="0"/>
                <w:sz w:val="20"/>
                <w:szCs w:val="20"/>
              </w:rPr>
            </w:pPr>
            <w:r>
              <w:rPr>
                <w:rFonts w:hint="eastAsia" w:ascii="宋体" w:hAnsi="宋体" w:cs="宋体"/>
                <w:kern w:val="0"/>
                <w:sz w:val="20"/>
                <w:szCs w:val="20"/>
              </w:rPr>
              <w:t>数量</w:t>
            </w:r>
          </w:p>
        </w:tc>
        <w:tc>
          <w:tcPr>
            <w:tcW w:w="850" w:type="dxa"/>
            <w:tcBorders>
              <w:top w:val="single" w:color="auto" w:sz="4" w:space="0"/>
              <w:left w:val="nil"/>
              <w:bottom w:val="single" w:color="000000" w:sz="4" w:space="0"/>
              <w:right w:val="single" w:color="000000" w:sz="4" w:space="0"/>
            </w:tcBorders>
            <w:shd w:val="clear" w:color="000000" w:fill="FFFFFF"/>
            <w:vAlign w:val="center"/>
          </w:tcPr>
          <w:p w14:paraId="26474D1B">
            <w:pPr>
              <w:widowControl/>
              <w:jc w:val="center"/>
              <w:rPr>
                <w:rFonts w:ascii="宋体" w:hAnsi="宋体" w:cs="宋体"/>
                <w:kern w:val="0"/>
                <w:sz w:val="20"/>
                <w:szCs w:val="20"/>
              </w:rPr>
            </w:pPr>
            <w:r>
              <w:rPr>
                <w:rFonts w:hint="eastAsia" w:ascii="宋体" w:hAnsi="宋体" w:cs="宋体"/>
                <w:kern w:val="0"/>
                <w:sz w:val="20"/>
                <w:szCs w:val="20"/>
              </w:rPr>
              <w:t>暂估单</w:t>
            </w:r>
            <w:r>
              <w:br w:type="textWrapping"/>
            </w:r>
            <w:r>
              <w:rPr>
                <w:rFonts w:hint="eastAsia" w:ascii="宋体" w:hAnsi="宋体" w:cs="宋体"/>
                <w:kern w:val="0"/>
                <w:sz w:val="20"/>
                <w:szCs w:val="20"/>
              </w:rPr>
              <w:t>价</w:t>
            </w:r>
            <w:r>
              <w:rPr>
                <w:rFonts w:ascii="宋体" w:hAnsi="宋体" w:cs="宋体"/>
                <w:kern w:val="0"/>
                <w:sz w:val="20"/>
                <w:szCs w:val="20"/>
              </w:rPr>
              <w:t>(元)</w:t>
            </w:r>
          </w:p>
        </w:tc>
        <w:tc>
          <w:tcPr>
            <w:tcW w:w="993" w:type="dxa"/>
            <w:tcBorders>
              <w:top w:val="single" w:color="auto" w:sz="4" w:space="0"/>
              <w:left w:val="nil"/>
              <w:bottom w:val="single" w:color="000000" w:sz="4" w:space="0"/>
              <w:right w:val="single" w:color="000000" w:sz="4" w:space="0"/>
            </w:tcBorders>
            <w:shd w:val="clear" w:color="000000" w:fill="FFFFFF"/>
            <w:vAlign w:val="center"/>
          </w:tcPr>
          <w:p w14:paraId="37200F94">
            <w:pPr>
              <w:widowControl/>
              <w:jc w:val="center"/>
              <w:rPr>
                <w:rFonts w:ascii="宋体" w:hAnsi="宋体" w:cs="宋体"/>
                <w:kern w:val="0"/>
                <w:sz w:val="20"/>
                <w:szCs w:val="20"/>
              </w:rPr>
            </w:pPr>
            <w:r>
              <w:rPr>
                <w:rFonts w:hint="eastAsia" w:ascii="宋体" w:hAnsi="宋体" w:cs="宋体"/>
                <w:kern w:val="0"/>
                <w:sz w:val="20"/>
                <w:szCs w:val="20"/>
              </w:rPr>
              <w:t>结算单</w:t>
            </w:r>
            <w:r>
              <w:br w:type="textWrapping"/>
            </w:r>
            <w:r>
              <w:rPr>
                <w:rFonts w:hint="eastAsia" w:ascii="宋体" w:hAnsi="宋体" w:cs="宋体"/>
                <w:kern w:val="0"/>
                <w:sz w:val="20"/>
                <w:szCs w:val="20"/>
              </w:rPr>
              <w:t>价</w:t>
            </w:r>
            <w:r>
              <w:rPr>
                <w:rFonts w:ascii="宋体" w:hAnsi="宋体" w:cs="宋体"/>
                <w:kern w:val="0"/>
                <w:sz w:val="20"/>
                <w:szCs w:val="20"/>
              </w:rPr>
              <w:t>(元)</w:t>
            </w:r>
          </w:p>
        </w:tc>
        <w:tc>
          <w:tcPr>
            <w:tcW w:w="616" w:type="dxa"/>
            <w:tcBorders>
              <w:top w:val="single" w:color="auto" w:sz="4" w:space="0"/>
              <w:left w:val="nil"/>
              <w:bottom w:val="single" w:color="000000" w:sz="4" w:space="0"/>
              <w:right w:val="single" w:color="000000" w:sz="4" w:space="0"/>
            </w:tcBorders>
            <w:shd w:val="clear" w:color="000000" w:fill="FFFFFF"/>
            <w:vAlign w:val="center"/>
          </w:tcPr>
          <w:p w14:paraId="6E12F211">
            <w:pPr>
              <w:widowControl/>
              <w:jc w:val="center"/>
              <w:rPr>
                <w:rFonts w:ascii="宋体" w:hAnsi="宋体" w:cs="宋体"/>
                <w:kern w:val="0"/>
                <w:sz w:val="20"/>
                <w:szCs w:val="20"/>
              </w:rPr>
            </w:pPr>
            <w:r>
              <w:rPr>
                <w:rFonts w:hint="eastAsia" w:ascii="宋体" w:hAnsi="宋体" w:cs="宋体"/>
                <w:kern w:val="0"/>
                <w:sz w:val="20"/>
                <w:szCs w:val="20"/>
              </w:rPr>
              <w:t>价差</w:t>
            </w:r>
            <w:r>
              <w:rPr>
                <w:rFonts w:ascii="宋体" w:hAnsi="宋体" w:cs="宋体"/>
                <w:kern w:val="0"/>
                <w:sz w:val="20"/>
                <w:szCs w:val="20"/>
              </w:rPr>
              <w:t>(元)</w:t>
            </w:r>
          </w:p>
        </w:tc>
        <w:tc>
          <w:tcPr>
            <w:tcW w:w="1085" w:type="dxa"/>
            <w:tcBorders>
              <w:top w:val="single" w:color="auto" w:sz="4" w:space="0"/>
              <w:left w:val="nil"/>
              <w:bottom w:val="single" w:color="000000" w:sz="4" w:space="0"/>
              <w:right w:val="single" w:color="auto" w:sz="4" w:space="0"/>
            </w:tcBorders>
            <w:shd w:val="clear" w:color="000000" w:fill="FFFFFF"/>
            <w:noWrap/>
            <w:vAlign w:val="center"/>
          </w:tcPr>
          <w:p w14:paraId="5F3E5D2D">
            <w:pPr>
              <w:widowControl/>
              <w:jc w:val="center"/>
              <w:rPr>
                <w:rFonts w:ascii="宋体" w:hAnsi="宋体" w:cs="宋体"/>
                <w:kern w:val="0"/>
                <w:sz w:val="20"/>
                <w:szCs w:val="20"/>
              </w:rPr>
            </w:pPr>
            <w:r>
              <w:rPr>
                <w:rFonts w:hint="eastAsia" w:ascii="宋体" w:hAnsi="宋体" w:cs="宋体"/>
                <w:kern w:val="0"/>
                <w:sz w:val="20"/>
                <w:szCs w:val="20"/>
              </w:rPr>
              <w:t>合价</w:t>
            </w:r>
            <w:r>
              <w:rPr>
                <w:rFonts w:ascii="宋体" w:hAnsi="宋体" w:cs="宋体"/>
                <w:kern w:val="0"/>
                <w:sz w:val="20"/>
                <w:szCs w:val="20"/>
              </w:rPr>
              <w:t>(元)</w:t>
            </w:r>
          </w:p>
        </w:tc>
      </w:tr>
      <w:tr w14:paraId="39555B48">
        <w:tblPrEx>
          <w:tblCellMar>
            <w:top w:w="0" w:type="dxa"/>
            <w:left w:w="108" w:type="dxa"/>
            <w:bottom w:w="0" w:type="dxa"/>
            <w:right w:w="108" w:type="dxa"/>
          </w:tblCellMar>
        </w:tblPrEx>
        <w:trPr>
          <w:trHeight w:val="462" w:hRule="atLeast"/>
        </w:trPr>
        <w:tc>
          <w:tcPr>
            <w:tcW w:w="4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84E84D">
            <w:pPr>
              <w:widowControl/>
              <w:jc w:val="center"/>
              <w:rPr>
                <w:rFonts w:ascii="宋体" w:hAnsi="宋体" w:cs="宋体"/>
                <w:kern w:val="0"/>
                <w:sz w:val="20"/>
                <w:szCs w:val="20"/>
              </w:rPr>
            </w:pPr>
          </w:p>
        </w:tc>
        <w:tc>
          <w:tcPr>
            <w:tcW w:w="2420" w:type="dxa"/>
            <w:tcBorders>
              <w:top w:val="single" w:color="auto" w:sz="4" w:space="0"/>
              <w:left w:val="nil"/>
              <w:bottom w:val="single" w:color="auto" w:sz="4" w:space="0"/>
              <w:right w:val="single" w:color="auto" w:sz="4" w:space="0"/>
            </w:tcBorders>
            <w:shd w:val="clear" w:color="auto" w:fill="auto"/>
            <w:noWrap/>
            <w:vAlign w:val="center"/>
          </w:tcPr>
          <w:p w14:paraId="1706160D">
            <w:pPr>
              <w:widowControl/>
              <w:jc w:val="center"/>
              <w:rPr>
                <w:rFonts w:ascii="宋体" w:hAnsi="宋体" w:cs="宋体"/>
                <w:kern w:val="0"/>
                <w:sz w:val="20"/>
                <w:szCs w:val="20"/>
              </w:rPr>
            </w:pP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6A0E6D06">
            <w:pPr>
              <w:widowControl/>
              <w:jc w:val="center"/>
              <w:rPr>
                <w:rFonts w:ascii="宋体" w:hAnsi="宋体" w:cs="宋体"/>
                <w:kern w:val="0"/>
                <w:sz w:val="20"/>
                <w:szCs w:val="20"/>
              </w:rPr>
            </w:pPr>
          </w:p>
        </w:tc>
        <w:tc>
          <w:tcPr>
            <w:tcW w:w="992" w:type="dxa"/>
            <w:tcBorders>
              <w:top w:val="single" w:color="auto" w:sz="4" w:space="0"/>
              <w:left w:val="nil"/>
              <w:bottom w:val="single" w:color="auto" w:sz="4" w:space="0"/>
              <w:right w:val="single" w:color="auto" w:sz="4" w:space="0"/>
            </w:tcBorders>
            <w:shd w:val="clear" w:color="auto" w:fill="auto"/>
            <w:noWrap/>
            <w:vAlign w:val="center"/>
          </w:tcPr>
          <w:p w14:paraId="6068203B">
            <w:pPr>
              <w:widowControl/>
              <w:jc w:val="center"/>
              <w:rPr>
                <w:rFonts w:ascii="宋体" w:hAnsi="宋体" w:cs="宋体"/>
                <w:kern w:val="0"/>
                <w:sz w:val="20"/>
                <w:szCs w:val="20"/>
              </w:rPr>
            </w:pPr>
          </w:p>
        </w:tc>
        <w:tc>
          <w:tcPr>
            <w:tcW w:w="850" w:type="dxa"/>
            <w:tcBorders>
              <w:top w:val="single" w:color="auto" w:sz="4" w:space="0"/>
              <w:left w:val="nil"/>
              <w:bottom w:val="single" w:color="auto" w:sz="4" w:space="0"/>
              <w:right w:val="single" w:color="auto" w:sz="4" w:space="0"/>
            </w:tcBorders>
            <w:shd w:val="clear" w:color="auto" w:fill="auto"/>
            <w:noWrap/>
            <w:vAlign w:val="center"/>
          </w:tcPr>
          <w:p w14:paraId="564D1F39">
            <w:pPr>
              <w:widowControl/>
              <w:jc w:val="center"/>
              <w:rPr>
                <w:rFonts w:ascii="宋体" w:hAnsi="宋体" w:cs="宋体"/>
                <w:kern w:val="0"/>
                <w:sz w:val="20"/>
                <w:szCs w:val="20"/>
              </w:rPr>
            </w:pPr>
          </w:p>
        </w:tc>
        <w:tc>
          <w:tcPr>
            <w:tcW w:w="993" w:type="dxa"/>
            <w:tcBorders>
              <w:top w:val="single" w:color="auto" w:sz="4" w:space="0"/>
              <w:left w:val="nil"/>
              <w:bottom w:val="single" w:color="auto" w:sz="4" w:space="0"/>
              <w:right w:val="single" w:color="auto" w:sz="4" w:space="0"/>
            </w:tcBorders>
            <w:shd w:val="clear" w:color="auto" w:fill="auto"/>
            <w:noWrap/>
            <w:vAlign w:val="center"/>
          </w:tcPr>
          <w:p w14:paraId="5F86D112">
            <w:pPr>
              <w:widowControl/>
              <w:jc w:val="center"/>
              <w:rPr>
                <w:rFonts w:ascii="宋体" w:hAnsi="宋体" w:cs="宋体"/>
                <w:kern w:val="0"/>
                <w:sz w:val="20"/>
                <w:szCs w:val="20"/>
              </w:rPr>
            </w:pPr>
          </w:p>
        </w:tc>
        <w:tc>
          <w:tcPr>
            <w:tcW w:w="616" w:type="dxa"/>
            <w:tcBorders>
              <w:top w:val="single" w:color="auto" w:sz="4" w:space="0"/>
              <w:left w:val="nil"/>
              <w:bottom w:val="single" w:color="auto" w:sz="4" w:space="0"/>
              <w:right w:val="single" w:color="auto" w:sz="4" w:space="0"/>
            </w:tcBorders>
            <w:shd w:val="clear" w:color="auto" w:fill="auto"/>
            <w:noWrap/>
            <w:vAlign w:val="center"/>
          </w:tcPr>
          <w:p w14:paraId="496BDF9D">
            <w:pPr>
              <w:widowControl/>
              <w:jc w:val="center"/>
              <w:rPr>
                <w:rFonts w:ascii="宋体" w:hAnsi="宋体" w:cs="宋体"/>
                <w:kern w:val="0"/>
                <w:sz w:val="20"/>
                <w:szCs w:val="20"/>
              </w:rPr>
            </w:pPr>
          </w:p>
        </w:tc>
        <w:tc>
          <w:tcPr>
            <w:tcW w:w="1085" w:type="dxa"/>
            <w:tcBorders>
              <w:top w:val="single" w:color="auto" w:sz="4" w:space="0"/>
              <w:left w:val="nil"/>
              <w:bottom w:val="single" w:color="auto" w:sz="4" w:space="0"/>
              <w:right w:val="single" w:color="auto" w:sz="4" w:space="0"/>
            </w:tcBorders>
            <w:shd w:val="clear" w:color="auto" w:fill="auto"/>
            <w:noWrap/>
            <w:vAlign w:val="center"/>
          </w:tcPr>
          <w:p w14:paraId="1EAFFF95">
            <w:pPr>
              <w:widowControl/>
              <w:jc w:val="center"/>
              <w:rPr>
                <w:rFonts w:ascii="宋体" w:hAnsi="宋体" w:cs="宋体"/>
                <w:kern w:val="0"/>
                <w:sz w:val="20"/>
                <w:szCs w:val="20"/>
              </w:rPr>
            </w:pPr>
          </w:p>
        </w:tc>
      </w:tr>
      <w:tr w14:paraId="2C287D7F">
        <w:tblPrEx>
          <w:tblCellMar>
            <w:top w:w="0" w:type="dxa"/>
            <w:left w:w="108" w:type="dxa"/>
            <w:bottom w:w="0" w:type="dxa"/>
            <w:right w:w="108" w:type="dxa"/>
          </w:tblCellMar>
        </w:tblPrEx>
        <w:trPr>
          <w:trHeight w:val="462" w:hRule="atLeast"/>
        </w:trPr>
        <w:tc>
          <w:tcPr>
            <w:tcW w:w="430" w:type="dxa"/>
            <w:tcBorders>
              <w:top w:val="nil"/>
              <w:left w:val="single" w:color="auto" w:sz="4" w:space="0"/>
              <w:bottom w:val="single" w:color="auto" w:sz="4" w:space="0"/>
              <w:right w:val="single" w:color="auto" w:sz="4" w:space="0"/>
            </w:tcBorders>
            <w:shd w:val="clear" w:color="auto" w:fill="auto"/>
            <w:noWrap/>
            <w:vAlign w:val="center"/>
          </w:tcPr>
          <w:p w14:paraId="20AFB6B7">
            <w:pPr>
              <w:widowControl/>
              <w:jc w:val="center"/>
              <w:rPr>
                <w:rFonts w:ascii="宋体" w:hAnsi="宋体" w:cs="宋体"/>
                <w:kern w:val="0"/>
                <w:sz w:val="20"/>
                <w:szCs w:val="20"/>
              </w:rPr>
            </w:pPr>
          </w:p>
        </w:tc>
        <w:tc>
          <w:tcPr>
            <w:tcW w:w="2420" w:type="dxa"/>
            <w:tcBorders>
              <w:top w:val="nil"/>
              <w:left w:val="nil"/>
              <w:bottom w:val="single" w:color="auto" w:sz="4" w:space="0"/>
              <w:right w:val="single" w:color="auto" w:sz="4" w:space="0"/>
            </w:tcBorders>
            <w:shd w:val="clear" w:color="auto" w:fill="auto"/>
            <w:noWrap/>
            <w:vAlign w:val="center"/>
          </w:tcPr>
          <w:p w14:paraId="737275EE">
            <w:pPr>
              <w:widowControl/>
              <w:jc w:val="center"/>
              <w:rPr>
                <w:rFonts w:ascii="宋体" w:hAnsi="宋体" w:cs="宋体"/>
                <w:kern w:val="0"/>
                <w:sz w:val="20"/>
                <w:szCs w:val="20"/>
              </w:rPr>
            </w:pPr>
          </w:p>
        </w:tc>
        <w:tc>
          <w:tcPr>
            <w:tcW w:w="993" w:type="dxa"/>
            <w:tcBorders>
              <w:top w:val="nil"/>
              <w:left w:val="nil"/>
              <w:bottom w:val="single" w:color="auto" w:sz="4" w:space="0"/>
              <w:right w:val="single" w:color="auto" w:sz="4" w:space="0"/>
            </w:tcBorders>
            <w:shd w:val="clear" w:color="auto" w:fill="auto"/>
            <w:noWrap/>
            <w:vAlign w:val="center"/>
          </w:tcPr>
          <w:p w14:paraId="53F02392">
            <w:pPr>
              <w:widowControl/>
              <w:jc w:val="center"/>
              <w:rPr>
                <w:rFonts w:ascii="宋体" w:hAnsi="宋体" w:cs="宋体"/>
                <w:kern w:val="0"/>
                <w:sz w:val="20"/>
                <w:szCs w:val="20"/>
              </w:rPr>
            </w:pPr>
          </w:p>
        </w:tc>
        <w:tc>
          <w:tcPr>
            <w:tcW w:w="992" w:type="dxa"/>
            <w:tcBorders>
              <w:top w:val="nil"/>
              <w:left w:val="nil"/>
              <w:bottom w:val="single" w:color="auto" w:sz="4" w:space="0"/>
              <w:right w:val="single" w:color="auto" w:sz="4" w:space="0"/>
            </w:tcBorders>
            <w:shd w:val="clear" w:color="auto" w:fill="auto"/>
            <w:noWrap/>
            <w:vAlign w:val="center"/>
          </w:tcPr>
          <w:p w14:paraId="78115111">
            <w:pPr>
              <w:widowControl/>
              <w:jc w:val="center"/>
              <w:rPr>
                <w:rFonts w:ascii="宋体" w:hAnsi="宋体" w:cs="宋体"/>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14:paraId="12B32012">
            <w:pPr>
              <w:widowControl/>
              <w:jc w:val="center"/>
              <w:rPr>
                <w:rFonts w:ascii="宋体" w:hAnsi="宋体" w:cs="宋体"/>
                <w:kern w:val="0"/>
                <w:sz w:val="20"/>
                <w:szCs w:val="20"/>
              </w:rPr>
            </w:pPr>
          </w:p>
        </w:tc>
        <w:tc>
          <w:tcPr>
            <w:tcW w:w="993" w:type="dxa"/>
            <w:tcBorders>
              <w:top w:val="nil"/>
              <w:left w:val="nil"/>
              <w:bottom w:val="single" w:color="auto" w:sz="4" w:space="0"/>
              <w:right w:val="single" w:color="auto" w:sz="4" w:space="0"/>
            </w:tcBorders>
            <w:shd w:val="clear" w:color="auto" w:fill="auto"/>
            <w:noWrap/>
            <w:vAlign w:val="center"/>
          </w:tcPr>
          <w:p w14:paraId="3A24C058">
            <w:pPr>
              <w:widowControl/>
              <w:jc w:val="center"/>
              <w:rPr>
                <w:rFonts w:ascii="宋体" w:hAnsi="宋体" w:cs="宋体"/>
                <w:kern w:val="0"/>
                <w:sz w:val="20"/>
                <w:szCs w:val="20"/>
              </w:rPr>
            </w:pPr>
          </w:p>
        </w:tc>
        <w:tc>
          <w:tcPr>
            <w:tcW w:w="616" w:type="dxa"/>
            <w:tcBorders>
              <w:top w:val="nil"/>
              <w:left w:val="nil"/>
              <w:bottom w:val="single" w:color="auto" w:sz="4" w:space="0"/>
              <w:right w:val="single" w:color="auto" w:sz="4" w:space="0"/>
            </w:tcBorders>
            <w:shd w:val="clear" w:color="auto" w:fill="auto"/>
            <w:noWrap/>
            <w:vAlign w:val="center"/>
          </w:tcPr>
          <w:p w14:paraId="78A78E03">
            <w:pPr>
              <w:widowControl/>
              <w:jc w:val="center"/>
              <w:rPr>
                <w:rFonts w:ascii="宋体" w:hAnsi="宋体" w:cs="宋体"/>
                <w:kern w:val="0"/>
                <w:sz w:val="20"/>
                <w:szCs w:val="20"/>
              </w:rPr>
            </w:pPr>
          </w:p>
        </w:tc>
        <w:tc>
          <w:tcPr>
            <w:tcW w:w="1085" w:type="dxa"/>
            <w:tcBorders>
              <w:top w:val="nil"/>
              <w:left w:val="nil"/>
              <w:bottom w:val="single" w:color="auto" w:sz="4" w:space="0"/>
              <w:right w:val="single" w:color="auto" w:sz="4" w:space="0"/>
            </w:tcBorders>
            <w:shd w:val="clear" w:color="auto" w:fill="auto"/>
            <w:noWrap/>
            <w:vAlign w:val="center"/>
          </w:tcPr>
          <w:p w14:paraId="5D8D4451">
            <w:pPr>
              <w:widowControl/>
              <w:jc w:val="center"/>
              <w:rPr>
                <w:rFonts w:ascii="宋体" w:hAnsi="宋体" w:cs="宋体"/>
                <w:kern w:val="0"/>
                <w:sz w:val="20"/>
                <w:szCs w:val="20"/>
              </w:rPr>
            </w:pPr>
          </w:p>
        </w:tc>
      </w:tr>
      <w:tr w14:paraId="75FD8CF0">
        <w:tblPrEx>
          <w:tblCellMar>
            <w:top w:w="0" w:type="dxa"/>
            <w:left w:w="108" w:type="dxa"/>
            <w:bottom w:w="0" w:type="dxa"/>
            <w:right w:w="108" w:type="dxa"/>
          </w:tblCellMar>
        </w:tblPrEx>
        <w:trPr>
          <w:trHeight w:val="462" w:hRule="atLeast"/>
        </w:trPr>
        <w:tc>
          <w:tcPr>
            <w:tcW w:w="430" w:type="dxa"/>
            <w:tcBorders>
              <w:top w:val="nil"/>
              <w:left w:val="single" w:color="auto" w:sz="4" w:space="0"/>
              <w:bottom w:val="single" w:color="auto" w:sz="4" w:space="0"/>
              <w:right w:val="single" w:color="auto" w:sz="4" w:space="0"/>
            </w:tcBorders>
            <w:shd w:val="clear" w:color="auto" w:fill="auto"/>
            <w:noWrap/>
            <w:vAlign w:val="center"/>
          </w:tcPr>
          <w:p w14:paraId="60EB08FB">
            <w:pPr>
              <w:widowControl/>
              <w:jc w:val="center"/>
              <w:rPr>
                <w:rFonts w:ascii="宋体" w:hAnsi="宋体" w:cs="宋体"/>
                <w:kern w:val="0"/>
                <w:sz w:val="20"/>
                <w:szCs w:val="20"/>
              </w:rPr>
            </w:pPr>
          </w:p>
        </w:tc>
        <w:tc>
          <w:tcPr>
            <w:tcW w:w="2420" w:type="dxa"/>
            <w:tcBorders>
              <w:top w:val="nil"/>
              <w:left w:val="nil"/>
              <w:bottom w:val="single" w:color="auto" w:sz="4" w:space="0"/>
              <w:right w:val="single" w:color="auto" w:sz="4" w:space="0"/>
            </w:tcBorders>
            <w:shd w:val="clear" w:color="auto" w:fill="auto"/>
            <w:noWrap/>
            <w:vAlign w:val="center"/>
          </w:tcPr>
          <w:p w14:paraId="1E9486C3">
            <w:pPr>
              <w:widowControl/>
              <w:jc w:val="center"/>
              <w:rPr>
                <w:rFonts w:ascii="宋体" w:hAnsi="宋体" w:cs="宋体"/>
                <w:kern w:val="0"/>
                <w:sz w:val="20"/>
                <w:szCs w:val="20"/>
              </w:rPr>
            </w:pPr>
          </w:p>
        </w:tc>
        <w:tc>
          <w:tcPr>
            <w:tcW w:w="993" w:type="dxa"/>
            <w:tcBorders>
              <w:top w:val="nil"/>
              <w:left w:val="nil"/>
              <w:bottom w:val="single" w:color="auto" w:sz="4" w:space="0"/>
              <w:right w:val="single" w:color="auto" w:sz="4" w:space="0"/>
            </w:tcBorders>
            <w:shd w:val="clear" w:color="auto" w:fill="auto"/>
            <w:noWrap/>
            <w:vAlign w:val="center"/>
          </w:tcPr>
          <w:p w14:paraId="4B827753">
            <w:pPr>
              <w:widowControl/>
              <w:jc w:val="center"/>
              <w:rPr>
                <w:rFonts w:ascii="宋体" w:hAnsi="宋体" w:cs="宋体"/>
                <w:kern w:val="0"/>
                <w:sz w:val="20"/>
                <w:szCs w:val="20"/>
              </w:rPr>
            </w:pPr>
          </w:p>
        </w:tc>
        <w:tc>
          <w:tcPr>
            <w:tcW w:w="992" w:type="dxa"/>
            <w:tcBorders>
              <w:top w:val="nil"/>
              <w:left w:val="nil"/>
              <w:bottom w:val="single" w:color="auto" w:sz="4" w:space="0"/>
              <w:right w:val="single" w:color="auto" w:sz="4" w:space="0"/>
            </w:tcBorders>
            <w:shd w:val="clear" w:color="auto" w:fill="auto"/>
            <w:noWrap/>
            <w:vAlign w:val="center"/>
          </w:tcPr>
          <w:p w14:paraId="19C56B1F">
            <w:pPr>
              <w:widowControl/>
              <w:jc w:val="center"/>
              <w:rPr>
                <w:rFonts w:ascii="宋体" w:hAnsi="宋体" w:cs="宋体"/>
                <w:kern w:val="0"/>
                <w:sz w:val="20"/>
                <w:szCs w:val="20"/>
              </w:rPr>
            </w:pPr>
          </w:p>
        </w:tc>
        <w:tc>
          <w:tcPr>
            <w:tcW w:w="850" w:type="dxa"/>
            <w:tcBorders>
              <w:top w:val="nil"/>
              <w:left w:val="nil"/>
              <w:bottom w:val="single" w:color="auto" w:sz="4" w:space="0"/>
              <w:right w:val="single" w:color="auto" w:sz="4" w:space="0"/>
            </w:tcBorders>
            <w:shd w:val="clear" w:color="auto" w:fill="auto"/>
            <w:noWrap/>
            <w:vAlign w:val="center"/>
          </w:tcPr>
          <w:p w14:paraId="7A7DD325">
            <w:pPr>
              <w:widowControl/>
              <w:jc w:val="center"/>
              <w:rPr>
                <w:rFonts w:ascii="宋体" w:hAnsi="宋体" w:cs="宋体"/>
                <w:kern w:val="0"/>
                <w:sz w:val="20"/>
                <w:szCs w:val="20"/>
              </w:rPr>
            </w:pPr>
          </w:p>
        </w:tc>
        <w:tc>
          <w:tcPr>
            <w:tcW w:w="993" w:type="dxa"/>
            <w:tcBorders>
              <w:top w:val="nil"/>
              <w:left w:val="nil"/>
              <w:bottom w:val="single" w:color="auto" w:sz="4" w:space="0"/>
              <w:right w:val="single" w:color="auto" w:sz="4" w:space="0"/>
            </w:tcBorders>
            <w:shd w:val="clear" w:color="auto" w:fill="auto"/>
            <w:noWrap/>
            <w:vAlign w:val="center"/>
          </w:tcPr>
          <w:p w14:paraId="03A9DBF9">
            <w:pPr>
              <w:widowControl/>
              <w:jc w:val="center"/>
              <w:rPr>
                <w:rFonts w:ascii="宋体" w:hAnsi="宋体" w:cs="宋体"/>
                <w:kern w:val="0"/>
                <w:sz w:val="20"/>
                <w:szCs w:val="20"/>
              </w:rPr>
            </w:pPr>
          </w:p>
        </w:tc>
        <w:tc>
          <w:tcPr>
            <w:tcW w:w="616" w:type="dxa"/>
            <w:tcBorders>
              <w:top w:val="nil"/>
              <w:left w:val="nil"/>
              <w:bottom w:val="single" w:color="auto" w:sz="4" w:space="0"/>
              <w:right w:val="single" w:color="auto" w:sz="4" w:space="0"/>
            </w:tcBorders>
            <w:shd w:val="clear" w:color="auto" w:fill="auto"/>
            <w:noWrap/>
            <w:vAlign w:val="center"/>
          </w:tcPr>
          <w:p w14:paraId="40EA7C00">
            <w:pPr>
              <w:widowControl/>
              <w:jc w:val="center"/>
              <w:rPr>
                <w:rFonts w:ascii="宋体" w:hAnsi="宋体" w:cs="宋体"/>
                <w:kern w:val="0"/>
                <w:sz w:val="20"/>
                <w:szCs w:val="20"/>
              </w:rPr>
            </w:pPr>
          </w:p>
        </w:tc>
        <w:tc>
          <w:tcPr>
            <w:tcW w:w="1085" w:type="dxa"/>
            <w:tcBorders>
              <w:top w:val="nil"/>
              <w:left w:val="nil"/>
              <w:bottom w:val="single" w:color="auto" w:sz="4" w:space="0"/>
              <w:right w:val="single" w:color="auto" w:sz="4" w:space="0"/>
            </w:tcBorders>
            <w:shd w:val="clear" w:color="auto" w:fill="auto"/>
            <w:noWrap/>
            <w:vAlign w:val="center"/>
          </w:tcPr>
          <w:p w14:paraId="5B3A19BC">
            <w:pPr>
              <w:widowControl/>
              <w:jc w:val="center"/>
              <w:rPr>
                <w:rFonts w:ascii="宋体" w:hAnsi="宋体" w:cs="宋体"/>
                <w:kern w:val="0"/>
                <w:sz w:val="20"/>
                <w:szCs w:val="20"/>
              </w:rPr>
            </w:pPr>
          </w:p>
        </w:tc>
      </w:tr>
      <w:tr w14:paraId="11018BDB">
        <w:tblPrEx>
          <w:tblCellMar>
            <w:top w:w="0" w:type="dxa"/>
            <w:left w:w="108" w:type="dxa"/>
            <w:bottom w:w="0" w:type="dxa"/>
            <w:right w:w="108" w:type="dxa"/>
          </w:tblCellMar>
        </w:tblPrEx>
        <w:trPr>
          <w:trHeight w:val="462" w:hRule="atLeast"/>
        </w:trPr>
        <w:tc>
          <w:tcPr>
            <w:tcW w:w="7294" w:type="dxa"/>
            <w:gridSpan w:val="7"/>
            <w:tcBorders>
              <w:top w:val="single" w:color="auto" w:sz="4" w:space="0"/>
              <w:left w:val="single" w:color="auto" w:sz="4" w:space="0"/>
              <w:bottom w:val="single" w:color="auto" w:sz="4" w:space="0"/>
              <w:right w:val="single" w:color="000000" w:sz="4" w:space="0"/>
            </w:tcBorders>
            <w:shd w:val="clear" w:color="auto" w:fill="auto"/>
            <w:vAlign w:val="center"/>
          </w:tcPr>
          <w:p w14:paraId="51714236">
            <w:pPr>
              <w:widowControl/>
              <w:jc w:val="center"/>
              <w:rPr>
                <w:rFonts w:ascii="宋体" w:hAnsi="宋体" w:cs="宋体"/>
                <w:kern w:val="0"/>
                <w:sz w:val="20"/>
                <w:szCs w:val="20"/>
              </w:rPr>
            </w:pPr>
            <w:r>
              <w:rPr>
                <w:rFonts w:hint="eastAsia" w:ascii="宋体" w:hAnsi="宋体" w:cs="宋体"/>
                <w:kern w:val="0"/>
                <w:sz w:val="20"/>
                <w:szCs w:val="20"/>
              </w:rPr>
              <w:t>本页小计</w:t>
            </w:r>
          </w:p>
        </w:tc>
        <w:tc>
          <w:tcPr>
            <w:tcW w:w="1085" w:type="dxa"/>
            <w:tcBorders>
              <w:top w:val="nil"/>
              <w:left w:val="nil"/>
              <w:bottom w:val="single" w:color="auto" w:sz="4" w:space="0"/>
              <w:right w:val="single" w:color="auto" w:sz="4" w:space="0"/>
            </w:tcBorders>
            <w:shd w:val="clear" w:color="auto" w:fill="auto"/>
            <w:noWrap/>
            <w:vAlign w:val="center"/>
          </w:tcPr>
          <w:p w14:paraId="43CF69BF">
            <w:pPr>
              <w:widowControl/>
              <w:jc w:val="center"/>
              <w:rPr>
                <w:rFonts w:ascii="宋体" w:hAnsi="宋体" w:cs="宋体"/>
                <w:kern w:val="0"/>
                <w:sz w:val="20"/>
                <w:szCs w:val="20"/>
              </w:rPr>
            </w:pPr>
          </w:p>
        </w:tc>
      </w:tr>
      <w:tr w14:paraId="2EC28525">
        <w:tblPrEx>
          <w:tblCellMar>
            <w:top w:w="0" w:type="dxa"/>
            <w:left w:w="108" w:type="dxa"/>
            <w:bottom w:w="0" w:type="dxa"/>
            <w:right w:w="108" w:type="dxa"/>
          </w:tblCellMar>
        </w:tblPrEx>
        <w:trPr>
          <w:trHeight w:val="462" w:hRule="atLeast"/>
        </w:trPr>
        <w:tc>
          <w:tcPr>
            <w:tcW w:w="7294" w:type="dxa"/>
            <w:gridSpan w:val="7"/>
            <w:tcBorders>
              <w:top w:val="single" w:color="auto" w:sz="4" w:space="0"/>
              <w:left w:val="single" w:color="auto" w:sz="4" w:space="0"/>
              <w:bottom w:val="single" w:color="auto" w:sz="4" w:space="0"/>
              <w:right w:val="single" w:color="000000" w:sz="4" w:space="0"/>
            </w:tcBorders>
            <w:shd w:val="clear" w:color="000000" w:fill="FFFFFF"/>
            <w:vAlign w:val="center"/>
          </w:tcPr>
          <w:p w14:paraId="55F5ABEF">
            <w:pPr>
              <w:widowControl/>
              <w:jc w:val="center"/>
              <w:rPr>
                <w:rFonts w:ascii="宋体" w:hAnsi="宋体" w:cs="宋体"/>
                <w:kern w:val="0"/>
                <w:sz w:val="18"/>
                <w:szCs w:val="18"/>
              </w:rPr>
            </w:pPr>
            <w:r>
              <w:rPr>
                <w:rFonts w:hint="eastAsia" w:ascii="宋体" w:hAnsi="宋体" w:cs="宋体"/>
                <w:kern w:val="0"/>
                <w:sz w:val="18"/>
                <w:szCs w:val="18"/>
              </w:rPr>
              <w:t>合</w:t>
            </w:r>
            <w:r>
              <w:rPr>
                <w:rFonts w:ascii="宋体" w:hAnsi="宋体" w:cs="宋体"/>
                <w:kern w:val="0"/>
                <w:sz w:val="18"/>
                <w:szCs w:val="18"/>
              </w:rPr>
              <w:t xml:space="preserve">  </w:t>
            </w:r>
            <w:r>
              <w:rPr>
                <w:rFonts w:hint="eastAsia" w:ascii="宋体" w:hAnsi="宋体" w:cs="宋体"/>
                <w:kern w:val="0"/>
                <w:sz w:val="18"/>
                <w:szCs w:val="18"/>
              </w:rPr>
              <w:t>计</w:t>
            </w:r>
          </w:p>
        </w:tc>
        <w:tc>
          <w:tcPr>
            <w:tcW w:w="1085" w:type="dxa"/>
            <w:tcBorders>
              <w:top w:val="nil"/>
              <w:left w:val="nil"/>
              <w:bottom w:val="single" w:color="auto" w:sz="4" w:space="0"/>
              <w:right w:val="single" w:color="auto" w:sz="4" w:space="0"/>
            </w:tcBorders>
            <w:shd w:val="clear" w:color="auto" w:fill="auto"/>
            <w:noWrap/>
            <w:vAlign w:val="center"/>
          </w:tcPr>
          <w:p w14:paraId="6FB287EA">
            <w:pPr>
              <w:widowControl/>
              <w:jc w:val="center"/>
              <w:rPr>
                <w:rFonts w:ascii="宋体" w:hAnsi="宋体" w:cs="宋体"/>
                <w:kern w:val="0"/>
                <w:sz w:val="20"/>
                <w:szCs w:val="20"/>
              </w:rPr>
            </w:pPr>
          </w:p>
        </w:tc>
      </w:tr>
    </w:tbl>
    <w:p w14:paraId="3C612ED0">
      <w:pPr>
        <w:keepNext/>
        <w:keepLines/>
        <w:spacing w:before="280" w:after="290" w:line="376" w:lineRule="auto"/>
        <w:outlineLvl w:val="3"/>
        <w:rPr>
          <w:rFonts w:ascii="Arial" w:hAnsi="Arial" w:eastAsia="黑体"/>
          <w:b/>
          <w:bCs/>
          <w:sz w:val="28"/>
          <w:szCs w:val="28"/>
        </w:rPr>
      </w:pPr>
      <w:r>
        <w:rPr>
          <w:rFonts w:hint="eastAsia" w:ascii="Arial" w:hAnsi="Arial" w:eastAsia="黑体"/>
          <w:b/>
          <w:bCs/>
          <w:sz w:val="28"/>
          <w:szCs w:val="28"/>
        </w:rPr>
        <w:t>（10）</w:t>
      </w:r>
      <w:r>
        <w:rPr>
          <w:rFonts w:hint="eastAsia" w:ascii="Arial" w:hAnsi="Arial" w:eastAsia="黑体"/>
          <w:b/>
          <w:bCs/>
          <w:kern w:val="0"/>
          <w:sz w:val="28"/>
          <w:szCs w:val="28"/>
        </w:rPr>
        <w:t>规费、应纳税费项目清单与计价表</w:t>
      </w:r>
    </w:p>
    <w:tbl>
      <w:tblPr>
        <w:tblStyle w:val="50"/>
        <w:tblW w:w="8379" w:type="dxa"/>
        <w:tblInd w:w="93" w:type="dxa"/>
        <w:tblLayout w:type="autofit"/>
        <w:tblCellMar>
          <w:top w:w="0" w:type="dxa"/>
          <w:left w:w="108" w:type="dxa"/>
          <w:bottom w:w="0" w:type="dxa"/>
          <w:right w:w="108" w:type="dxa"/>
        </w:tblCellMar>
      </w:tblPr>
      <w:tblGrid>
        <w:gridCol w:w="486"/>
        <w:gridCol w:w="2790"/>
        <w:gridCol w:w="2976"/>
        <w:gridCol w:w="1134"/>
        <w:gridCol w:w="993"/>
      </w:tblGrid>
      <w:tr w14:paraId="2C2D26D8">
        <w:trPr>
          <w:trHeight w:val="668" w:hRule="atLeast"/>
        </w:trPr>
        <w:tc>
          <w:tcPr>
            <w:tcW w:w="3276" w:type="dxa"/>
            <w:gridSpan w:val="2"/>
            <w:tcBorders>
              <w:top w:val="nil"/>
              <w:left w:val="nil"/>
              <w:bottom w:val="nil"/>
              <w:right w:val="nil"/>
            </w:tcBorders>
            <w:shd w:val="clear" w:color="auto" w:fill="auto"/>
            <w:vAlign w:val="bottom"/>
          </w:tcPr>
          <w:p w14:paraId="30926C9A">
            <w:pPr>
              <w:widowControl/>
              <w:jc w:val="left"/>
              <w:rPr>
                <w:rFonts w:ascii="宋体" w:hAnsi="宋体" w:cs="宋体"/>
                <w:kern w:val="0"/>
                <w:sz w:val="20"/>
                <w:szCs w:val="20"/>
              </w:rPr>
            </w:pPr>
            <w:r>
              <w:rPr>
                <w:rFonts w:hint="eastAsia" w:ascii="宋体" w:hAnsi="宋体" w:cs="宋体"/>
                <w:kern w:val="0"/>
                <w:sz w:val="20"/>
                <w:szCs w:val="20"/>
              </w:rPr>
              <w:t>工程名称</w:t>
            </w:r>
            <w:r>
              <w:rPr>
                <w:rFonts w:ascii="宋体" w:hAnsi="宋体" w:cs="宋体"/>
                <w:kern w:val="0"/>
                <w:sz w:val="20"/>
                <w:szCs w:val="20"/>
              </w:rPr>
              <w:t xml:space="preserve">: </w:t>
            </w:r>
          </w:p>
        </w:tc>
        <w:tc>
          <w:tcPr>
            <w:tcW w:w="2976" w:type="dxa"/>
            <w:tcBorders>
              <w:top w:val="nil"/>
              <w:left w:val="nil"/>
              <w:bottom w:val="nil"/>
              <w:right w:val="nil"/>
            </w:tcBorders>
            <w:shd w:val="clear" w:color="auto" w:fill="auto"/>
            <w:vAlign w:val="bottom"/>
          </w:tcPr>
          <w:p w14:paraId="3903AE42">
            <w:pPr>
              <w:widowControl/>
              <w:jc w:val="left"/>
              <w:rPr>
                <w:rFonts w:ascii="宋体" w:hAnsi="宋体" w:cs="宋体"/>
                <w:kern w:val="0"/>
                <w:sz w:val="20"/>
                <w:szCs w:val="20"/>
              </w:rPr>
            </w:pPr>
            <w:r>
              <w:rPr>
                <w:rFonts w:ascii="宋体" w:hAnsi="宋体" w:cs="宋体"/>
                <w:kern w:val="0"/>
                <w:sz w:val="20"/>
                <w:szCs w:val="20"/>
              </w:rPr>
              <w:t xml:space="preserve">     </w:t>
            </w:r>
          </w:p>
        </w:tc>
        <w:tc>
          <w:tcPr>
            <w:tcW w:w="2127" w:type="dxa"/>
            <w:gridSpan w:val="2"/>
            <w:tcBorders>
              <w:top w:val="nil"/>
              <w:left w:val="nil"/>
              <w:bottom w:val="nil"/>
              <w:right w:val="nil"/>
            </w:tcBorders>
            <w:shd w:val="clear" w:color="auto" w:fill="auto"/>
            <w:vAlign w:val="bottom"/>
          </w:tcPr>
          <w:p w14:paraId="60FF3BC4">
            <w:pPr>
              <w:widowControl/>
              <w:jc w:val="right"/>
              <w:rPr>
                <w:rFonts w:ascii="宋体" w:hAnsi="宋体" w:cs="宋体"/>
                <w:kern w:val="0"/>
                <w:sz w:val="20"/>
                <w:szCs w:val="20"/>
              </w:rPr>
            </w:pPr>
            <w:r>
              <w:rPr>
                <w:rFonts w:hint="eastAsia" w:ascii="宋体" w:hAnsi="宋体" w:cs="宋体"/>
                <w:kern w:val="0"/>
                <w:sz w:val="20"/>
                <w:szCs w:val="20"/>
              </w:rPr>
              <w:t>第</w:t>
            </w:r>
            <w:r>
              <w:rPr>
                <w:rFonts w:ascii="宋体" w:hAnsi="宋体" w:cs="宋体"/>
                <w:kern w:val="0"/>
                <w:sz w:val="20"/>
                <w:szCs w:val="20"/>
              </w:rPr>
              <w:t xml:space="preserve">1页 </w:t>
            </w:r>
            <w:r>
              <w:rPr>
                <w:rFonts w:hint="eastAsia" w:ascii="宋体" w:hAnsi="宋体" w:cs="宋体"/>
                <w:kern w:val="0"/>
                <w:sz w:val="20"/>
                <w:szCs w:val="20"/>
              </w:rPr>
              <w:t>共</w:t>
            </w:r>
            <w:r>
              <w:rPr>
                <w:rFonts w:ascii="宋体" w:hAnsi="宋体" w:cs="宋体"/>
                <w:kern w:val="0"/>
                <w:sz w:val="20"/>
                <w:szCs w:val="20"/>
              </w:rPr>
              <w:t>1页</w:t>
            </w:r>
          </w:p>
        </w:tc>
      </w:tr>
      <w:tr w14:paraId="5799BD30">
        <w:tblPrEx>
          <w:tblCellMar>
            <w:top w:w="0" w:type="dxa"/>
            <w:left w:w="108" w:type="dxa"/>
            <w:bottom w:w="0" w:type="dxa"/>
            <w:right w:w="108" w:type="dxa"/>
          </w:tblCellMar>
        </w:tblPrEx>
        <w:trPr>
          <w:trHeight w:val="342" w:hRule="atLeast"/>
        </w:trPr>
        <w:tc>
          <w:tcPr>
            <w:tcW w:w="486" w:type="dxa"/>
            <w:tcBorders>
              <w:top w:val="single" w:color="auto" w:sz="4" w:space="0"/>
              <w:left w:val="single" w:color="auto" w:sz="4" w:space="0"/>
              <w:bottom w:val="single" w:color="000000" w:sz="4" w:space="0"/>
              <w:right w:val="single" w:color="000000" w:sz="4" w:space="0"/>
            </w:tcBorders>
            <w:shd w:val="clear" w:color="000000" w:fill="FFFFFF"/>
            <w:noWrap/>
            <w:vAlign w:val="center"/>
          </w:tcPr>
          <w:p w14:paraId="4A76A162">
            <w:pPr>
              <w:widowControl/>
              <w:jc w:val="center"/>
              <w:rPr>
                <w:rFonts w:ascii="宋体" w:hAnsi="宋体" w:cs="宋体"/>
                <w:kern w:val="0"/>
                <w:sz w:val="20"/>
                <w:szCs w:val="20"/>
              </w:rPr>
            </w:pPr>
            <w:r>
              <w:rPr>
                <w:rFonts w:hint="eastAsia" w:ascii="宋体" w:hAnsi="宋体" w:cs="宋体"/>
                <w:kern w:val="0"/>
                <w:sz w:val="20"/>
                <w:szCs w:val="20"/>
              </w:rPr>
              <w:t>序号</w:t>
            </w:r>
          </w:p>
        </w:tc>
        <w:tc>
          <w:tcPr>
            <w:tcW w:w="2790" w:type="dxa"/>
            <w:tcBorders>
              <w:top w:val="single" w:color="auto" w:sz="4" w:space="0"/>
              <w:left w:val="nil"/>
              <w:bottom w:val="single" w:color="000000" w:sz="4" w:space="0"/>
              <w:right w:val="single" w:color="000000" w:sz="4" w:space="0"/>
            </w:tcBorders>
            <w:shd w:val="clear" w:color="000000" w:fill="FFFFFF"/>
            <w:vAlign w:val="center"/>
          </w:tcPr>
          <w:p w14:paraId="69D6F7BF">
            <w:pPr>
              <w:widowControl/>
              <w:jc w:val="center"/>
              <w:rPr>
                <w:rFonts w:ascii="宋体" w:hAnsi="宋体" w:cs="宋体"/>
                <w:kern w:val="0"/>
                <w:sz w:val="20"/>
                <w:szCs w:val="20"/>
              </w:rPr>
            </w:pPr>
            <w:r>
              <w:rPr>
                <w:rFonts w:hint="eastAsia" w:ascii="宋体" w:hAnsi="宋体" w:cs="宋体"/>
                <w:kern w:val="0"/>
                <w:sz w:val="20"/>
                <w:szCs w:val="20"/>
              </w:rPr>
              <w:t>项目名称</w:t>
            </w:r>
          </w:p>
        </w:tc>
        <w:tc>
          <w:tcPr>
            <w:tcW w:w="2976" w:type="dxa"/>
            <w:tcBorders>
              <w:top w:val="single" w:color="auto" w:sz="4" w:space="0"/>
              <w:left w:val="nil"/>
              <w:bottom w:val="single" w:color="000000" w:sz="4" w:space="0"/>
              <w:right w:val="single" w:color="000000" w:sz="4" w:space="0"/>
            </w:tcBorders>
            <w:shd w:val="clear" w:color="000000" w:fill="FFFFFF"/>
            <w:vAlign w:val="center"/>
          </w:tcPr>
          <w:p w14:paraId="72D507E6">
            <w:pPr>
              <w:widowControl/>
              <w:jc w:val="center"/>
              <w:rPr>
                <w:rFonts w:ascii="宋体" w:hAnsi="宋体" w:cs="宋体"/>
                <w:kern w:val="0"/>
                <w:sz w:val="20"/>
                <w:szCs w:val="20"/>
              </w:rPr>
            </w:pPr>
            <w:r>
              <w:rPr>
                <w:rFonts w:hint="eastAsia" w:ascii="宋体" w:hAnsi="宋体" w:cs="宋体"/>
                <w:kern w:val="0"/>
                <w:sz w:val="20"/>
                <w:szCs w:val="20"/>
              </w:rPr>
              <w:t>计算基础</w:t>
            </w:r>
          </w:p>
        </w:tc>
        <w:tc>
          <w:tcPr>
            <w:tcW w:w="1134" w:type="dxa"/>
            <w:tcBorders>
              <w:top w:val="single" w:color="auto" w:sz="4" w:space="0"/>
              <w:left w:val="nil"/>
              <w:bottom w:val="single" w:color="000000" w:sz="4" w:space="0"/>
              <w:right w:val="single" w:color="000000" w:sz="4" w:space="0"/>
            </w:tcBorders>
            <w:shd w:val="clear" w:color="000000" w:fill="FFFFFF"/>
            <w:vAlign w:val="center"/>
          </w:tcPr>
          <w:p w14:paraId="459B3F02">
            <w:pPr>
              <w:widowControl/>
              <w:jc w:val="center"/>
              <w:rPr>
                <w:rFonts w:ascii="宋体" w:hAnsi="宋体" w:cs="宋体"/>
                <w:kern w:val="0"/>
                <w:sz w:val="20"/>
                <w:szCs w:val="20"/>
              </w:rPr>
            </w:pPr>
            <w:r>
              <w:rPr>
                <w:rFonts w:hint="eastAsia" w:ascii="宋体" w:hAnsi="宋体" w:cs="宋体"/>
                <w:kern w:val="0"/>
                <w:sz w:val="20"/>
                <w:szCs w:val="20"/>
              </w:rPr>
              <w:t>费率</w:t>
            </w:r>
            <w:r>
              <w:rPr>
                <w:rFonts w:ascii="宋体" w:hAnsi="宋体" w:cs="宋体"/>
                <w:kern w:val="0"/>
                <w:sz w:val="20"/>
                <w:szCs w:val="20"/>
              </w:rPr>
              <w:t>(%)</w:t>
            </w:r>
          </w:p>
        </w:tc>
        <w:tc>
          <w:tcPr>
            <w:tcW w:w="993" w:type="dxa"/>
            <w:tcBorders>
              <w:top w:val="single" w:color="auto" w:sz="4" w:space="0"/>
              <w:left w:val="nil"/>
              <w:bottom w:val="single" w:color="000000" w:sz="4" w:space="0"/>
              <w:right w:val="single" w:color="auto" w:sz="4" w:space="0"/>
            </w:tcBorders>
            <w:shd w:val="clear" w:color="000000" w:fill="FFFFFF"/>
            <w:vAlign w:val="center"/>
          </w:tcPr>
          <w:p w14:paraId="04678214">
            <w:pPr>
              <w:widowControl/>
              <w:jc w:val="center"/>
              <w:rPr>
                <w:rFonts w:ascii="宋体" w:hAnsi="宋体" w:cs="宋体"/>
                <w:kern w:val="0"/>
                <w:sz w:val="20"/>
                <w:szCs w:val="20"/>
              </w:rPr>
            </w:pPr>
            <w:r>
              <w:rPr>
                <w:rFonts w:hint="eastAsia" w:ascii="宋体" w:hAnsi="宋体" w:cs="宋体"/>
                <w:kern w:val="0"/>
                <w:sz w:val="20"/>
                <w:szCs w:val="20"/>
              </w:rPr>
              <w:t>金额</w:t>
            </w:r>
            <w:r>
              <w:rPr>
                <w:rFonts w:ascii="宋体" w:hAnsi="宋体" w:cs="宋体"/>
                <w:kern w:val="0"/>
                <w:sz w:val="20"/>
                <w:szCs w:val="20"/>
              </w:rPr>
              <w:t>(元)</w:t>
            </w:r>
          </w:p>
        </w:tc>
      </w:tr>
      <w:tr w14:paraId="616421D2">
        <w:tblPrEx>
          <w:tblCellMar>
            <w:top w:w="0" w:type="dxa"/>
            <w:left w:w="108" w:type="dxa"/>
            <w:bottom w:w="0" w:type="dxa"/>
            <w:right w:w="108" w:type="dxa"/>
          </w:tblCellMar>
        </w:tblPrEx>
        <w:trPr>
          <w:trHeight w:val="924" w:hRule="atLeast"/>
        </w:trPr>
        <w:tc>
          <w:tcPr>
            <w:tcW w:w="486" w:type="dxa"/>
            <w:tcBorders>
              <w:top w:val="nil"/>
              <w:left w:val="single" w:color="auto" w:sz="4" w:space="0"/>
              <w:bottom w:val="single" w:color="auto" w:sz="4" w:space="0"/>
              <w:right w:val="single" w:color="auto" w:sz="4" w:space="0"/>
            </w:tcBorders>
            <w:shd w:val="clear" w:color="000000" w:fill="FFFFFF"/>
            <w:noWrap/>
            <w:vAlign w:val="center"/>
          </w:tcPr>
          <w:p w14:paraId="06285AC9">
            <w:pPr>
              <w:widowControl/>
              <w:jc w:val="center"/>
              <w:rPr>
                <w:rFonts w:ascii="宋体" w:hAnsi="宋体" w:cs="宋体"/>
                <w:kern w:val="0"/>
                <w:sz w:val="18"/>
                <w:szCs w:val="18"/>
              </w:rPr>
            </w:pPr>
            <w:r>
              <w:rPr>
                <w:rFonts w:ascii="宋体" w:hAnsi="宋体" w:cs="宋体"/>
                <w:kern w:val="0"/>
                <w:sz w:val="18"/>
                <w:szCs w:val="18"/>
              </w:rPr>
              <w:t>1</w:t>
            </w:r>
          </w:p>
        </w:tc>
        <w:tc>
          <w:tcPr>
            <w:tcW w:w="2790" w:type="dxa"/>
            <w:tcBorders>
              <w:top w:val="nil"/>
              <w:left w:val="nil"/>
              <w:bottom w:val="single" w:color="auto" w:sz="4" w:space="0"/>
              <w:right w:val="single" w:color="auto" w:sz="4" w:space="0"/>
            </w:tcBorders>
            <w:shd w:val="clear" w:color="000000" w:fill="FFFFFF"/>
            <w:vAlign w:val="center"/>
          </w:tcPr>
          <w:p w14:paraId="270B6C03">
            <w:pPr>
              <w:widowControl/>
              <w:rPr>
                <w:rFonts w:ascii="宋体" w:hAnsi="宋体" w:cs="宋体"/>
                <w:kern w:val="0"/>
                <w:sz w:val="18"/>
                <w:szCs w:val="18"/>
              </w:rPr>
            </w:pPr>
            <w:r>
              <w:rPr>
                <w:rFonts w:hint="eastAsia" w:ascii="宋体" w:hAnsi="宋体" w:cs="宋体"/>
                <w:kern w:val="0"/>
                <w:sz w:val="18"/>
                <w:szCs w:val="18"/>
              </w:rPr>
              <w:t>规费</w:t>
            </w:r>
          </w:p>
        </w:tc>
        <w:tc>
          <w:tcPr>
            <w:tcW w:w="2976" w:type="dxa"/>
            <w:tcBorders>
              <w:top w:val="nil"/>
              <w:left w:val="nil"/>
              <w:bottom w:val="single" w:color="auto" w:sz="4" w:space="0"/>
              <w:right w:val="single" w:color="auto" w:sz="4" w:space="0"/>
            </w:tcBorders>
            <w:shd w:val="clear" w:color="000000" w:fill="FFFFFF"/>
            <w:vAlign w:val="center"/>
          </w:tcPr>
          <w:p w14:paraId="1EF34DC7">
            <w:pPr>
              <w:widowControl/>
              <w:rPr>
                <w:rFonts w:ascii="宋体" w:hAnsi="宋体" w:cs="宋体"/>
                <w:kern w:val="0"/>
                <w:sz w:val="18"/>
                <w:szCs w:val="18"/>
              </w:rPr>
            </w:pPr>
            <w:r>
              <w:rPr>
                <w:rFonts w:ascii="宋体" w:hAnsi="宋体" w:cs="宋体"/>
                <w:kern w:val="0"/>
                <w:sz w:val="18"/>
                <w:szCs w:val="18"/>
              </w:rPr>
              <w:t>(分部分项工程费+措施项目费+其他项目费)中的人工费</w:t>
            </w:r>
          </w:p>
        </w:tc>
        <w:tc>
          <w:tcPr>
            <w:tcW w:w="1134" w:type="dxa"/>
            <w:tcBorders>
              <w:top w:val="nil"/>
              <w:left w:val="nil"/>
              <w:bottom w:val="single" w:color="auto" w:sz="4" w:space="0"/>
              <w:right w:val="single" w:color="auto" w:sz="4" w:space="0"/>
            </w:tcBorders>
            <w:shd w:val="clear" w:color="000000" w:fill="FFFFFF"/>
            <w:noWrap/>
            <w:vAlign w:val="center"/>
          </w:tcPr>
          <w:p w14:paraId="7A2CA470">
            <w:pPr>
              <w:widowControl/>
              <w:jc w:val="center"/>
              <w:rPr>
                <w:rFonts w:ascii="宋体" w:hAnsi="宋体" w:cs="宋体"/>
                <w:kern w:val="0"/>
                <w:sz w:val="18"/>
                <w:szCs w:val="18"/>
              </w:rPr>
            </w:pPr>
          </w:p>
        </w:tc>
        <w:tc>
          <w:tcPr>
            <w:tcW w:w="993" w:type="dxa"/>
            <w:tcBorders>
              <w:top w:val="nil"/>
              <w:left w:val="nil"/>
              <w:bottom w:val="single" w:color="auto" w:sz="4" w:space="0"/>
              <w:right w:val="single" w:color="auto" w:sz="4" w:space="0"/>
            </w:tcBorders>
            <w:shd w:val="clear" w:color="000000" w:fill="FFFFFF"/>
            <w:noWrap/>
            <w:vAlign w:val="center"/>
          </w:tcPr>
          <w:p w14:paraId="69E4258D">
            <w:pPr>
              <w:widowControl/>
              <w:jc w:val="center"/>
              <w:rPr>
                <w:rFonts w:ascii="宋体" w:hAnsi="宋体" w:cs="宋体"/>
                <w:kern w:val="0"/>
                <w:sz w:val="18"/>
                <w:szCs w:val="18"/>
              </w:rPr>
            </w:pPr>
          </w:p>
        </w:tc>
      </w:tr>
      <w:tr w14:paraId="50940489">
        <w:tblPrEx>
          <w:tblCellMar>
            <w:top w:w="0" w:type="dxa"/>
            <w:left w:w="108" w:type="dxa"/>
            <w:bottom w:w="0" w:type="dxa"/>
            <w:right w:w="108" w:type="dxa"/>
          </w:tblCellMar>
        </w:tblPrEx>
        <w:trPr>
          <w:trHeight w:val="924" w:hRule="atLeast"/>
        </w:trPr>
        <w:tc>
          <w:tcPr>
            <w:tcW w:w="486" w:type="dxa"/>
            <w:tcBorders>
              <w:top w:val="nil"/>
              <w:left w:val="single" w:color="auto" w:sz="4" w:space="0"/>
              <w:bottom w:val="single" w:color="auto" w:sz="4" w:space="0"/>
              <w:right w:val="single" w:color="auto" w:sz="4" w:space="0"/>
            </w:tcBorders>
            <w:shd w:val="clear" w:color="000000" w:fill="FFFFFF"/>
            <w:noWrap/>
            <w:vAlign w:val="center"/>
          </w:tcPr>
          <w:p w14:paraId="0D7BAED7">
            <w:pPr>
              <w:widowControl/>
              <w:jc w:val="center"/>
              <w:rPr>
                <w:rFonts w:ascii="宋体" w:hAnsi="宋体" w:cs="宋体"/>
                <w:kern w:val="0"/>
                <w:sz w:val="18"/>
                <w:szCs w:val="18"/>
              </w:rPr>
            </w:pPr>
            <w:r>
              <w:rPr>
                <w:rFonts w:ascii="宋体" w:hAnsi="宋体" w:cs="宋体"/>
                <w:kern w:val="0"/>
                <w:sz w:val="18"/>
                <w:szCs w:val="18"/>
              </w:rPr>
              <w:t>2</w:t>
            </w:r>
          </w:p>
        </w:tc>
        <w:tc>
          <w:tcPr>
            <w:tcW w:w="2790" w:type="dxa"/>
            <w:tcBorders>
              <w:top w:val="nil"/>
              <w:left w:val="nil"/>
              <w:bottom w:val="single" w:color="auto" w:sz="4" w:space="0"/>
              <w:right w:val="single" w:color="auto" w:sz="4" w:space="0"/>
            </w:tcBorders>
            <w:shd w:val="clear" w:color="000000" w:fill="FFFFFF"/>
            <w:vAlign w:val="center"/>
          </w:tcPr>
          <w:p w14:paraId="4FA2108D">
            <w:pPr>
              <w:widowControl/>
              <w:rPr>
                <w:rFonts w:ascii="宋体" w:hAnsi="宋体" w:cs="宋体"/>
                <w:kern w:val="0"/>
                <w:sz w:val="18"/>
                <w:szCs w:val="18"/>
              </w:rPr>
            </w:pPr>
            <w:r>
              <w:rPr>
                <w:rFonts w:hint="eastAsia" w:ascii="宋体" w:hAnsi="宋体" w:cs="宋体"/>
                <w:kern w:val="0"/>
                <w:sz w:val="18"/>
                <w:szCs w:val="18"/>
              </w:rPr>
              <w:t>应纳税费</w:t>
            </w:r>
          </w:p>
        </w:tc>
        <w:tc>
          <w:tcPr>
            <w:tcW w:w="2976" w:type="dxa"/>
            <w:tcBorders>
              <w:top w:val="nil"/>
              <w:left w:val="nil"/>
              <w:bottom w:val="single" w:color="auto" w:sz="4" w:space="0"/>
              <w:right w:val="single" w:color="auto" w:sz="4" w:space="0"/>
            </w:tcBorders>
            <w:shd w:val="clear" w:color="000000" w:fill="FFFFFF"/>
            <w:vAlign w:val="center"/>
          </w:tcPr>
          <w:p w14:paraId="5255A583">
            <w:pPr>
              <w:widowControl/>
              <w:rPr>
                <w:rFonts w:ascii="宋体" w:hAnsi="宋体" w:cs="宋体"/>
                <w:kern w:val="0"/>
                <w:sz w:val="18"/>
                <w:szCs w:val="18"/>
              </w:rPr>
            </w:pPr>
            <w:r>
              <w:rPr>
                <w:rFonts w:hint="eastAsia" w:ascii="宋体" w:hAnsi="宋体" w:cs="宋体"/>
                <w:kern w:val="0"/>
                <w:sz w:val="18"/>
                <w:szCs w:val="18"/>
              </w:rPr>
              <w:t>应纳税费合计</w:t>
            </w:r>
          </w:p>
        </w:tc>
        <w:tc>
          <w:tcPr>
            <w:tcW w:w="1134" w:type="dxa"/>
            <w:tcBorders>
              <w:top w:val="nil"/>
              <w:left w:val="nil"/>
              <w:bottom w:val="single" w:color="auto" w:sz="4" w:space="0"/>
              <w:right w:val="single" w:color="auto" w:sz="4" w:space="0"/>
            </w:tcBorders>
            <w:shd w:val="clear" w:color="000000" w:fill="FFFFFF"/>
            <w:noWrap/>
            <w:vAlign w:val="center"/>
          </w:tcPr>
          <w:p w14:paraId="1D89A9C2">
            <w:pPr>
              <w:widowControl/>
              <w:jc w:val="center"/>
              <w:rPr>
                <w:rFonts w:ascii="宋体" w:hAnsi="宋体" w:cs="宋体"/>
                <w:kern w:val="0"/>
                <w:sz w:val="18"/>
                <w:szCs w:val="18"/>
              </w:rPr>
            </w:pPr>
          </w:p>
        </w:tc>
        <w:tc>
          <w:tcPr>
            <w:tcW w:w="993" w:type="dxa"/>
            <w:tcBorders>
              <w:top w:val="nil"/>
              <w:left w:val="nil"/>
              <w:bottom w:val="single" w:color="auto" w:sz="4" w:space="0"/>
              <w:right w:val="single" w:color="auto" w:sz="4" w:space="0"/>
            </w:tcBorders>
            <w:shd w:val="clear" w:color="000000" w:fill="FFFFFF"/>
            <w:noWrap/>
            <w:vAlign w:val="center"/>
          </w:tcPr>
          <w:p w14:paraId="1D35D649">
            <w:pPr>
              <w:widowControl/>
              <w:jc w:val="center"/>
              <w:rPr>
                <w:rFonts w:ascii="宋体" w:hAnsi="宋体" w:cs="宋体"/>
                <w:kern w:val="0"/>
                <w:sz w:val="18"/>
                <w:szCs w:val="18"/>
              </w:rPr>
            </w:pPr>
          </w:p>
        </w:tc>
      </w:tr>
      <w:tr w14:paraId="073DC565">
        <w:tblPrEx>
          <w:tblCellMar>
            <w:top w:w="0" w:type="dxa"/>
            <w:left w:w="108" w:type="dxa"/>
            <w:bottom w:w="0" w:type="dxa"/>
            <w:right w:w="108" w:type="dxa"/>
          </w:tblCellMar>
        </w:tblPrEx>
        <w:trPr>
          <w:trHeight w:val="924" w:hRule="atLeast"/>
        </w:trPr>
        <w:tc>
          <w:tcPr>
            <w:tcW w:w="486" w:type="dxa"/>
            <w:tcBorders>
              <w:top w:val="nil"/>
              <w:left w:val="single" w:color="auto" w:sz="4" w:space="0"/>
              <w:bottom w:val="single" w:color="auto" w:sz="4" w:space="0"/>
              <w:right w:val="single" w:color="auto" w:sz="4" w:space="0"/>
            </w:tcBorders>
            <w:shd w:val="clear" w:color="000000" w:fill="FFFFFF"/>
            <w:noWrap/>
            <w:vAlign w:val="center"/>
          </w:tcPr>
          <w:p w14:paraId="69A574DA">
            <w:pPr>
              <w:widowControl/>
              <w:jc w:val="center"/>
              <w:rPr>
                <w:rFonts w:ascii="宋体" w:hAnsi="宋体" w:cs="宋体"/>
                <w:kern w:val="0"/>
                <w:sz w:val="18"/>
                <w:szCs w:val="18"/>
              </w:rPr>
            </w:pPr>
            <w:r>
              <w:rPr>
                <w:rFonts w:ascii="宋体" w:hAnsi="宋体" w:cs="宋体"/>
                <w:kern w:val="0"/>
                <w:sz w:val="18"/>
                <w:szCs w:val="18"/>
              </w:rPr>
              <w:t>2.1</w:t>
            </w:r>
          </w:p>
        </w:tc>
        <w:tc>
          <w:tcPr>
            <w:tcW w:w="2790" w:type="dxa"/>
            <w:tcBorders>
              <w:top w:val="nil"/>
              <w:left w:val="nil"/>
              <w:bottom w:val="single" w:color="auto" w:sz="4" w:space="0"/>
              <w:right w:val="single" w:color="auto" w:sz="4" w:space="0"/>
            </w:tcBorders>
            <w:shd w:val="clear" w:color="000000" w:fill="FFFFFF"/>
            <w:vAlign w:val="center"/>
          </w:tcPr>
          <w:p w14:paraId="36CBF132">
            <w:pPr>
              <w:widowControl/>
              <w:rPr>
                <w:rFonts w:ascii="宋体" w:hAnsi="宋体" w:cs="宋体"/>
                <w:kern w:val="0"/>
                <w:sz w:val="18"/>
                <w:szCs w:val="18"/>
              </w:rPr>
            </w:pPr>
            <w:r>
              <w:rPr>
                <w:rFonts w:hint="eastAsia" w:ascii="宋体" w:hAnsi="宋体" w:cs="宋体"/>
                <w:kern w:val="0"/>
                <w:sz w:val="18"/>
                <w:szCs w:val="18"/>
              </w:rPr>
              <w:t>增值税应纳税额</w:t>
            </w:r>
          </w:p>
        </w:tc>
        <w:tc>
          <w:tcPr>
            <w:tcW w:w="2976" w:type="dxa"/>
            <w:tcBorders>
              <w:top w:val="nil"/>
              <w:left w:val="nil"/>
              <w:bottom w:val="single" w:color="auto" w:sz="4" w:space="0"/>
              <w:right w:val="single" w:color="auto" w:sz="4" w:space="0"/>
            </w:tcBorders>
            <w:shd w:val="clear" w:color="000000" w:fill="FFFFFF"/>
            <w:vAlign w:val="center"/>
          </w:tcPr>
          <w:p w14:paraId="61EBE276">
            <w:pPr>
              <w:widowControl/>
              <w:rPr>
                <w:rFonts w:ascii="宋体" w:hAnsi="宋体" w:cs="宋体"/>
                <w:kern w:val="0"/>
                <w:sz w:val="18"/>
                <w:szCs w:val="18"/>
              </w:rPr>
            </w:pPr>
            <w:r>
              <w:rPr>
                <w:rFonts w:hint="eastAsia" w:ascii="宋体" w:hAnsi="宋体" w:cs="宋体"/>
                <w:kern w:val="0"/>
                <w:sz w:val="18"/>
                <w:szCs w:val="18"/>
              </w:rPr>
              <w:t>分部分项工程费</w:t>
            </w:r>
            <w:r>
              <w:rPr>
                <w:rFonts w:ascii="宋体" w:hAnsi="宋体" w:cs="宋体"/>
                <w:kern w:val="0"/>
                <w:sz w:val="18"/>
                <w:szCs w:val="18"/>
              </w:rPr>
              <w:t>+措施项目费+其他项目费+规费</w:t>
            </w:r>
          </w:p>
        </w:tc>
        <w:tc>
          <w:tcPr>
            <w:tcW w:w="1134" w:type="dxa"/>
            <w:tcBorders>
              <w:top w:val="nil"/>
              <w:left w:val="nil"/>
              <w:bottom w:val="single" w:color="auto" w:sz="4" w:space="0"/>
              <w:right w:val="single" w:color="auto" w:sz="4" w:space="0"/>
            </w:tcBorders>
            <w:shd w:val="clear" w:color="000000" w:fill="FFFFFF"/>
            <w:noWrap/>
            <w:vAlign w:val="center"/>
          </w:tcPr>
          <w:p w14:paraId="46F4ACF5">
            <w:pPr>
              <w:widowControl/>
              <w:jc w:val="center"/>
              <w:rPr>
                <w:rFonts w:ascii="宋体" w:hAnsi="宋体" w:cs="宋体"/>
                <w:kern w:val="0"/>
                <w:sz w:val="18"/>
                <w:szCs w:val="18"/>
              </w:rPr>
            </w:pPr>
          </w:p>
        </w:tc>
        <w:tc>
          <w:tcPr>
            <w:tcW w:w="993" w:type="dxa"/>
            <w:tcBorders>
              <w:top w:val="nil"/>
              <w:left w:val="nil"/>
              <w:bottom w:val="single" w:color="auto" w:sz="4" w:space="0"/>
              <w:right w:val="single" w:color="auto" w:sz="4" w:space="0"/>
            </w:tcBorders>
            <w:shd w:val="clear" w:color="000000" w:fill="FFFFFF"/>
            <w:noWrap/>
            <w:vAlign w:val="center"/>
          </w:tcPr>
          <w:p w14:paraId="0F05A445">
            <w:pPr>
              <w:widowControl/>
              <w:jc w:val="center"/>
              <w:rPr>
                <w:rFonts w:ascii="宋体" w:hAnsi="宋体" w:cs="宋体"/>
                <w:kern w:val="0"/>
                <w:sz w:val="18"/>
                <w:szCs w:val="18"/>
              </w:rPr>
            </w:pPr>
          </w:p>
        </w:tc>
      </w:tr>
      <w:tr w14:paraId="6E7C1850">
        <w:tblPrEx>
          <w:tblCellMar>
            <w:top w:w="0" w:type="dxa"/>
            <w:left w:w="108" w:type="dxa"/>
            <w:bottom w:w="0" w:type="dxa"/>
            <w:right w:w="108" w:type="dxa"/>
          </w:tblCellMar>
        </w:tblPrEx>
        <w:trPr>
          <w:trHeight w:val="924" w:hRule="atLeast"/>
        </w:trPr>
        <w:tc>
          <w:tcPr>
            <w:tcW w:w="486" w:type="dxa"/>
            <w:tcBorders>
              <w:top w:val="nil"/>
              <w:left w:val="single" w:color="auto" w:sz="4" w:space="0"/>
              <w:bottom w:val="single" w:color="auto" w:sz="4" w:space="0"/>
              <w:right w:val="single" w:color="auto" w:sz="4" w:space="0"/>
            </w:tcBorders>
            <w:shd w:val="clear" w:color="000000" w:fill="FFFFFF"/>
            <w:noWrap/>
            <w:vAlign w:val="center"/>
          </w:tcPr>
          <w:p w14:paraId="48D9CDD9">
            <w:pPr>
              <w:widowControl/>
              <w:jc w:val="center"/>
              <w:rPr>
                <w:rFonts w:ascii="宋体" w:hAnsi="宋体" w:cs="宋体"/>
                <w:kern w:val="0"/>
                <w:sz w:val="18"/>
                <w:szCs w:val="18"/>
              </w:rPr>
            </w:pPr>
            <w:r>
              <w:rPr>
                <w:rFonts w:ascii="宋体" w:hAnsi="宋体" w:cs="宋体"/>
                <w:kern w:val="0"/>
                <w:sz w:val="18"/>
                <w:szCs w:val="18"/>
              </w:rPr>
              <w:t>2.2</w:t>
            </w:r>
          </w:p>
        </w:tc>
        <w:tc>
          <w:tcPr>
            <w:tcW w:w="2790" w:type="dxa"/>
            <w:tcBorders>
              <w:top w:val="nil"/>
              <w:left w:val="nil"/>
              <w:bottom w:val="single" w:color="auto" w:sz="4" w:space="0"/>
              <w:right w:val="single" w:color="auto" w:sz="4" w:space="0"/>
            </w:tcBorders>
            <w:shd w:val="clear" w:color="000000" w:fill="FFFFFF"/>
            <w:vAlign w:val="center"/>
          </w:tcPr>
          <w:p w14:paraId="74509FF7">
            <w:pPr>
              <w:widowControl/>
              <w:rPr>
                <w:rFonts w:ascii="宋体" w:hAnsi="宋体" w:cs="宋体"/>
                <w:kern w:val="0"/>
                <w:sz w:val="18"/>
                <w:szCs w:val="18"/>
              </w:rPr>
            </w:pPr>
            <w:r>
              <w:rPr>
                <w:rFonts w:hint="eastAsia" w:ascii="宋体" w:hAnsi="宋体" w:cs="宋体"/>
                <w:kern w:val="0"/>
                <w:sz w:val="18"/>
                <w:szCs w:val="18"/>
              </w:rPr>
              <w:t>城市维护建设税、教育费附加及地方教育费附加</w:t>
            </w:r>
          </w:p>
        </w:tc>
        <w:tc>
          <w:tcPr>
            <w:tcW w:w="2976" w:type="dxa"/>
            <w:tcBorders>
              <w:top w:val="nil"/>
              <w:left w:val="nil"/>
              <w:bottom w:val="single" w:color="auto" w:sz="4" w:space="0"/>
              <w:right w:val="single" w:color="auto" w:sz="4" w:space="0"/>
            </w:tcBorders>
            <w:shd w:val="clear" w:color="000000" w:fill="FFFFFF"/>
            <w:vAlign w:val="center"/>
          </w:tcPr>
          <w:p w14:paraId="770F6ECB">
            <w:pPr>
              <w:widowControl/>
              <w:rPr>
                <w:rFonts w:ascii="宋体" w:hAnsi="宋体" w:cs="宋体"/>
                <w:kern w:val="0"/>
                <w:sz w:val="18"/>
                <w:szCs w:val="18"/>
              </w:rPr>
            </w:pPr>
            <w:r>
              <w:rPr>
                <w:rFonts w:hint="eastAsia" w:ascii="宋体" w:hAnsi="宋体" w:cs="宋体"/>
                <w:kern w:val="0"/>
                <w:sz w:val="18"/>
                <w:szCs w:val="18"/>
              </w:rPr>
              <w:t>增值税应纳税额</w:t>
            </w:r>
          </w:p>
        </w:tc>
        <w:tc>
          <w:tcPr>
            <w:tcW w:w="1134" w:type="dxa"/>
            <w:tcBorders>
              <w:top w:val="nil"/>
              <w:left w:val="nil"/>
              <w:bottom w:val="single" w:color="auto" w:sz="4" w:space="0"/>
              <w:right w:val="single" w:color="auto" w:sz="4" w:space="0"/>
            </w:tcBorders>
            <w:shd w:val="clear" w:color="000000" w:fill="FFFFFF"/>
            <w:noWrap/>
            <w:vAlign w:val="center"/>
          </w:tcPr>
          <w:p w14:paraId="7716C7DB">
            <w:pPr>
              <w:widowControl/>
              <w:jc w:val="center"/>
              <w:rPr>
                <w:rFonts w:ascii="宋体" w:hAnsi="宋体" w:cs="宋体"/>
                <w:kern w:val="0"/>
                <w:sz w:val="18"/>
                <w:szCs w:val="18"/>
              </w:rPr>
            </w:pPr>
          </w:p>
        </w:tc>
        <w:tc>
          <w:tcPr>
            <w:tcW w:w="993" w:type="dxa"/>
            <w:tcBorders>
              <w:top w:val="nil"/>
              <w:left w:val="nil"/>
              <w:bottom w:val="single" w:color="auto" w:sz="4" w:space="0"/>
              <w:right w:val="single" w:color="auto" w:sz="4" w:space="0"/>
            </w:tcBorders>
            <w:shd w:val="clear" w:color="000000" w:fill="FFFFFF"/>
            <w:noWrap/>
            <w:vAlign w:val="center"/>
          </w:tcPr>
          <w:p w14:paraId="4360D18B">
            <w:pPr>
              <w:widowControl/>
              <w:jc w:val="center"/>
              <w:rPr>
                <w:rFonts w:ascii="宋体" w:hAnsi="宋体" w:cs="宋体"/>
                <w:kern w:val="0"/>
                <w:sz w:val="18"/>
                <w:szCs w:val="18"/>
              </w:rPr>
            </w:pPr>
          </w:p>
        </w:tc>
      </w:tr>
      <w:tr w14:paraId="2A9CD595">
        <w:tblPrEx>
          <w:tblCellMar>
            <w:top w:w="0" w:type="dxa"/>
            <w:left w:w="108" w:type="dxa"/>
            <w:bottom w:w="0" w:type="dxa"/>
            <w:right w:w="108" w:type="dxa"/>
          </w:tblCellMar>
        </w:tblPrEx>
        <w:trPr>
          <w:trHeight w:val="924" w:hRule="atLeast"/>
        </w:trPr>
        <w:tc>
          <w:tcPr>
            <w:tcW w:w="486" w:type="dxa"/>
            <w:tcBorders>
              <w:top w:val="nil"/>
              <w:left w:val="single" w:color="auto" w:sz="4" w:space="0"/>
              <w:bottom w:val="single" w:color="auto" w:sz="4" w:space="0"/>
              <w:right w:val="single" w:color="auto" w:sz="4" w:space="0"/>
            </w:tcBorders>
            <w:shd w:val="clear" w:color="000000" w:fill="FFFFFF"/>
            <w:noWrap/>
            <w:vAlign w:val="center"/>
          </w:tcPr>
          <w:p w14:paraId="55BFCA3F">
            <w:pPr>
              <w:widowControl/>
              <w:jc w:val="center"/>
              <w:rPr>
                <w:rFonts w:ascii="宋体" w:hAnsi="宋体" w:cs="宋体"/>
                <w:kern w:val="0"/>
                <w:sz w:val="18"/>
                <w:szCs w:val="18"/>
              </w:rPr>
            </w:pPr>
          </w:p>
        </w:tc>
        <w:tc>
          <w:tcPr>
            <w:tcW w:w="2790" w:type="dxa"/>
            <w:tcBorders>
              <w:top w:val="nil"/>
              <w:left w:val="nil"/>
              <w:bottom w:val="single" w:color="auto" w:sz="4" w:space="0"/>
              <w:right w:val="single" w:color="auto" w:sz="4" w:space="0"/>
            </w:tcBorders>
            <w:shd w:val="clear" w:color="000000" w:fill="FFFFFF"/>
            <w:vAlign w:val="center"/>
          </w:tcPr>
          <w:p w14:paraId="4D93E1C5">
            <w:pPr>
              <w:widowControl/>
              <w:jc w:val="center"/>
              <w:rPr>
                <w:rFonts w:ascii="宋体" w:hAnsi="宋体" w:cs="宋体"/>
                <w:kern w:val="0"/>
                <w:sz w:val="18"/>
                <w:szCs w:val="18"/>
              </w:rPr>
            </w:pPr>
          </w:p>
        </w:tc>
        <w:tc>
          <w:tcPr>
            <w:tcW w:w="2976" w:type="dxa"/>
            <w:tcBorders>
              <w:top w:val="nil"/>
              <w:left w:val="nil"/>
              <w:bottom w:val="single" w:color="auto" w:sz="4" w:space="0"/>
              <w:right w:val="single" w:color="auto" w:sz="4" w:space="0"/>
            </w:tcBorders>
            <w:shd w:val="clear" w:color="000000" w:fill="FFFFFF"/>
            <w:vAlign w:val="center"/>
          </w:tcPr>
          <w:p w14:paraId="67E39017">
            <w:pPr>
              <w:widowControl/>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shd w:val="clear" w:color="000000" w:fill="FFFFFF"/>
            <w:noWrap/>
            <w:vAlign w:val="center"/>
          </w:tcPr>
          <w:p w14:paraId="29B01193">
            <w:pPr>
              <w:widowControl/>
              <w:jc w:val="center"/>
              <w:rPr>
                <w:rFonts w:ascii="宋体" w:hAnsi="宋体" w:cs="宋体"/>
                <w:kern w:val="0"/>
                <w:sz w:val="18"/>
                <w:szCs w:val="18"/>
              </w:rPr>
            </w:pPr>
          </w:p>
        </w:tc>
        <w:tc>
          <w:tcPr>
            <w:tcW w:w="993" w:type="dxa"/>
            <w:tcBorders>
              <w:top w:val="nil"/>
              <w:left w:val="nil"/>
              <w:bottom w:val="single" w:color="auto" w:sz="4" w:space="0"/>
              <w:right w:val="single" w:color="auto" w:sz="4" w:space="0"/>
            </w:tcBorders>
            <w:shd w:val="clear" w:color="000000" w:fill="FFFFFF"/>
            <w:noWrap/>
            <w:vAlign w:val="center"/>
          </w:tcPr>
          <w:p w14:paraId="165038FE">
            <w:pPr>
              <w:widowControl/>
              <w:jc w:val="center"/>
              <w:rPr>
                <w:rFonts w:ascii="宋体" w:hAnsi="宋体" w:cs="宋体"/>
                <w:kern w:val="0"/>
                <w:sz w:val="18"/>
                <w:szCs w:val="18"/>
              </w:rPr>
            </w:pPr>
          </w:p>
        </w:tc>
      </w:tr>
      <w:tr w14:paraId="04C7FC0C">
        <w:tblPrEx>
          <w:tblCellMar>
            <w:top w:w="0" w:type="dxa"/>
            <w:left w:w="108" w:type="dxa"/>
            <w:bottom w:w="0" w:type="dxa"/>
            <w:right w:w="108" w:type="dxa"/>
          </w:tblCellMar>
        </w:tblPrEx>
        <w:trPr>
          <w:trHeight w:val="924" w:hRule="atLeast"/>
        </w:trPr>
        <w:tc>
          <w:tcPr>
            <w:tcW w:w="486" w:type="dxa"/>
            <w:tcBorders>
              <w:top w:val="nil"/>
              <w:left w:val="single" w:color="auto" w:sz="4" w:space="0"/>
              <w:bottom w:val="single" w:color="auto" w:sz="4" w:space="0"/>
              <w:right w:val="single" w:color="auto" w:sz="4" w:space="0"/>
            </w:tcBorders>
            <w:shd w:val="clear" w:color="000000" w:fill="FFFFFF"/>
            <w:noWrap/>
            <w:vAlign w:val="center"/>
          </w:tcPr>
          <w:p w14:paraId="4DD41C5B">
            <w:pPr>
              <w:widowControl/>
              <w:jc w:val="center"/>
              <w:rPr>
                <w:rFonts w:ascii="宋体" w:hAnsi="宋体" w:cs="宋体"/>
                <w:kern w:val="0"/>
                <w:sz w:val="18"/>
                <w:szCs w:val="18"/>
              </w:rPr>
            </w:pPr>
          </w:p>
        </w:tc>
        <w:tc>
          <w:tcPr>
            <w:tcW w:w="2790" w:type="dxa"/>
            <w:tcBorders>
              <w:top w:val="nil"/>
              <w:left w:val="nil"/>
              <w:bottom w:val="single" w:color="auto" w:sz="4" w:space="0"/>
              <w:right w:val="single" w:color="auto" w:sz="4" w:space="0"/>
            </w:tcBorders>
            <w:shd w:val="clear" w:color="000000" w:fill="FFFFFF"/>
            <w:vAlign w:val="center"/>
          </w:tcPr>
          <w:p w14:paraId="0A042917">
            <w:pPr>
              <w:widowControl/>
              <w:jc w:val="center"/>
              <w:rPr>
                <w:rFonts w:ascii="宋体" w:hAnsi="宋体" w:cs="宋体"/>
                <w:kern w:val="0"/>
                <w:sz w:val="18"/>
                <w:szCs w:val="18"/>
              </w:rPr>
            </w:pPr>
          </w:p>
        </w:tc>
        <w:tc>
          <w:tcPr>
            <w:tcW w:w="2976" w:type="dxa"/>
            <w:tcBorders>
              <w:top w:val="nil"/>
              <w:left w:val="nil"/>
              <w:bottom w:val="single" w:color="auto" w:sz="4" w:space="0"/>
              <w:right w:val="single" w:color="auto" w:sz="4" w:space="0"/>
            </w:tcBorders>
            <w:shd w:val="clear" w:color="000000" w:fill="FFFFFF"/>
            <w:vAlign w:val="center"/>
          </w:tcPr>
          <w:p w14:paraId="28AB5FDF">
            <w:pPr>
              <w:widowControl/>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shd w:val="clear" w:color="000000" w:fill="FFFFFF"/>
            <w:noWrap/>
            <w:vAlign w:val="center"/>
          </w:tcPr>
          <w:p w14:paraId="77A8F6BC">
            <w:pPr>
              <w:widowControl/>
              <w:jc w:val="center"/>
              <w:rPr>
                <w:rFonts w:ascii="宋体" w:hAnsi="宋体" w:cs="宋体"/>
                <w:kern w:val="0"/>
                <w:sz w:val="18"/>
                <w:szCs w:val="18"/>
              </w:rPr>
            </w:pPr>
          </w:p>
        </w:tc>
        <w:tc>
          <w:tcPr>
            <w:tcW w:w="993" w:type="dxa"/>
            <w:tcBorders>
              <w:top w:val="nil"/>
              <w:left w:val="nil"/>
              <w:bottom w:val="single" w:color="auto" w:sz="4" w:space="0"/>
              <w:right w:val="single" w:color="auto" w:sz="4" w:space="0"/>
            </w:tcBorders>
            <w:shd w:val="clear" w:color="000000" w:fill="FFFFFF"/>
            <w:noWrap/>
            <w:vAlign w:val="center"/>
          </w:tcPr>
          <w:p w14:paraId="16D059AC">
            <w:pPr>
              <w:widowControl/>
              <w:jc w:val="center"/>
              <w:rPr>
                <w:rFonts w:ascii="宋体" w:hAnsi="宋体" w:cs="宋体"/>
                <w:kern w:val="0"/>
                <w:sz w:val="18"/>
                <w:szCs w:val="18"/>
              </w:rPr>
            </w:pPr>
          </w:p>
        </w:tc>
      </w:tr>
      <w:tr w14:paraId="31FE4670">
        <w:tblPrEx>
          <w:tblCellMar>
            <w:top w:w="0" w:type="dxa"/>
            <w:left w:w="108" w:type="dxa"/>
            <w:bottom w:w="0" w:type="dxa"/>
            <w:right w:w="108" w:type="dxa"/>
          </w:tblCellMar>
        </w:tblPrEx>
        <w:trPr>
          <w:trHeight w:val="924" w:hRule="atLeast"/>
        </w:trPr>
        <w:tc>
          <w:tcPr>
            <w:tcW w:w="7386" w:type="dxa"/>
            <w:gridSpan w:val="4"/>
            <w:tcBorders>
              <w:top w:val="single" w:color="auto" w:sz="4" w:space="0"/>
              <w:left w:val="single" w:color="auto" w:sz="4" w:space="0"/>
              <w:bottom w:val="single" w:color="auto" w:sz="4" w:space="0"/>
              <w:right w:val="single" w:color="000000" w:sz="4" w:space="0"/>
            </w:tcBorders>
            <w:shd w:val="clear" w:color="000000" w:fill="FFFFFF"/>
            <w:vAlign w:val="center"/>
          </w:tcPr>
          <w:p w14:paraId="141317CB">
            <w:pPr>
              <w:widowControl/>
              <w:jc w:val="center"/>
              <w:rPr>
                <w:rFonts w:ascii="宋体" w:hAnsi="宋体" w:cs="宋体"/>
                <w:kern w:val="0"/>
                <w:sz w:val="18"/>
                <w:szCs w:val="18"/>
              </w:rPr>
            </w:pPr>
            <w:r>
              <w:rPr>
                <w:rFonts w:hint="eastAsia" w:ascii="宋体" w:hAnsi="宋体" w:cs="宋体"/>
                <w:kern w:val="0"/>
                <w:sz w:val="18"/>
                <w:szCs w:val="18"/>
              </w:rPr>
              <w:t>合</w:t>
            </w:r>
            <w:r>
              <w:rPr>
                <w:rFonts w:ascii="宋体" w:hAnsi="宋体" w:cs="宋体"/>
                <w:kern w:val="0"/>
                <w:sz w:val="18"/>
                <w:szCs w:val="18"/>
              </w:rPr>
              <w:t xml:space="preserve">  </w:t>
            </w:r>
            <w:r>
              <w:rPr>
                <w:rFonts w:hint="eastAsia" w:ascii="宋体" w:hAnsi="宋体" w:cs="宋体"/>
                <w:kern w:val="0"/>
                <w:sz w:val="18"/>
                <w:szCs w:val="18"/>
              </w:rPr>
              <w:t>计</w:t>
            </w:r>
          </w:p>
        </w:tc>
        <w:tc>
          <w:tcPr>
            <w:tcW w:w="993" w:type="dxa"/>
            <w:tcBorders>
              <w:top w:val="nil"/>
              <w:left w:val="nil"/>
              <w:bottom w:val="single" w:color="auto" w:sz="4" w:space="0"/>
              <w:right w:val="single" w:color="auto" w:sz="4" w:space="0"/>
            </w:tcBorders>
            <w:shd w:val="clear" w:color="000000" w:fill="FFFFFF"/>
            <w:noWrap/>
            <w:vAlign w:val="center"/>
          </w:tcPr>
          <w:p w14:paraId="145D4844">
            <w:pPr>
              <w:widowControl/>
              <w:jc w:val="center"/>
              <w:rPr>
                <w:rFonts w:ascii="宋体" w:hAnsi="宋体" w:cs="宋体"/>
                <w:kern w:val="0"/>
                <w:sz w:val="18"/>
                <w:szCs w:val="18"/>
              </w:rPr>
            </w:pPr>
          </w:p>
        </w:tc>
      </w:tr>
    </w:tbl>
    <w:p w14:paraId="432203DD">
      <w:pPr>
        <w:rPr>
          <w:rFonts w:ascii="仿宋_GB2312" w:eastAsia="仿宋_GB2312"/>
          <w:b/>
          <w:sz w:val="24"/>
        </w:rPr>
      </w:pPr>
    </w:p>
    <w:p w14:paraId="59461551">
      <w:pPr>
        <w:ind w:firstLine="420" w:firstLineChars="200"/>
      </w:pPr>
      <w:r>
        <w:rPr>
          <w:rFonts w:hint="eastAsia"/>
        </w:rPr>
        <w:t>供应商名称（盖公章）：</w:t>
      </w:r>
    </w:p>
    <w:p w14:paraId="37B78E8C">
      <w:pPr>
        <w:tabs>
          <w:tab w:val="left" w:pos="2601"/>
        </w:tabs>
        <w:ind w:firstLine="420" w:firstLineChars="200"/>
      </w:pPr>
      <w:r>
        <w:tab/>
      </w:r>
    </w:p>
    <w:p w14:paraId="7406D146">
      <w:pPr>
        <w:ind w:firstLine="420" w:firstLineChars="200"/>
      </w:pPr>
      <w:r>
        <w:rPr>
          <w:rFonts w:hint="eastAsia"/>
        </w:rPr>
        <w:t>法定代表人或供应商授权代表（签名或盖章）签字：</w:t>
      </w:r>
    </w:p>
    <w:p w14:paraId="608E38E7">
      <w:pPr>
        <w:ind w:firstLine="420" w:firstLineChars="200"/>
      </w:pPr>
    </w:p>
    <w:p w14:paraId="5B57090F">
      <w:pPr>
        <w:ind w:firstLine="420" w:firstLineChars="200"/>
      </w:pP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14:paraId="73863268">
      <w:pPr>
        <w:spacing w:line="300" w:lineRule="auto"/>
        <w:jc w:val="center"/>
        <w:rPr>
          <w:b/>
          <w:sz w:val="24"/>
        </w:rPr>
      </w:pPr>
    </w:p>
    <w:p w14:paraId="1599062E">
      <w:pPr>
        <w:widowControl/>
        <w:jc w:val="left"/>
        <w:rPr>
          <w:sz w:val="24"/>
        </w:rPr>
      </w:pPr>
      <w:r>
        <w:br w:type="page"/>
      </w:r>
    </w:p>
    <w:p w14:paraId="0635756B">
      <w:pPr>
        <w:pStyle w:val="5"/>
        <w:numPr>
          <w:ilvl w:val="0"/>
          <w:numId w:val="0"/>
        </w:numPr>
      </w:pPr>
      <w:bookmarkStart w:id="269" w:name="_Toc151802159"/>
      <w:bookmarkStart w:id="270" w:name="_Toc30822"/>
      <w:r>
        <w:t>8.</w:t>
      </w:r>
      <w:r>
        <w:rPr>
          <w:rFonts w:hint="eastAsia"/>
        </w:rPr>
        <w:t>供应商最终报价总表</w:t>
      </w:r>
      <w:bookmarkEnd w:id="269"/>
      <w:bookmarkEnd w:id="270"/>
    </w:p>
    <w:p w14:paraId="38DDC061">
      <w:pPr>
        <w:spacing w:line="300" w:lineRule="auto"/>
        <w:jc w:val="center"/>
        <w:rPr>
          <w:bCs/>
          <w:sz w:val="32"/>
          <w:szCs w:val="32"/>
        </w:rPr>
      </w:pPr>
      <w:r>
        <w:rPr>
          <w:rFonts w:hint="eastAsia"/>
          <w:bCs/>
          <w:sz w:val="32"/>
          <w:szCs w:val="32"/>
        </w:rPr>
        <w:t>最终报价总表</w:t>
      </w:r>
    </w:p>
    <w:p w14:paraId="5A73FCD1">
      <w:pPr>
        <w:spacing w:line="360" w:lineRule="auto"/>
        <w:ind w:firstLine="420" w:firstLineChars="200"/>
      </w:pPr>
    </w:p>
    <w:p w14:paraId="069AD82C">
      <w:pPr>
        <w:spacing w:line="360" w:lineRule="auto"/>
        <w:ind w:firstLine="420" w:firstLineChars="200"/>
        <w:rPr>
          <w:u w:val="single"/>
        </w:rPr>
      </w:pPr>
      <w:r>
        <w:rPr>
          <w:rFonts w:hint="eastAsia"/>
        </w:rPr>
        <w:t>供应商名称：</w:t>
      </w:r>
      <w:r>
        <w:rPr>
          <w:u w:val="single"/>
        </w:rPr>
        <w:t xml:space="preserve">                 </w:t>
      </w:r>
      <w:r>
        <w:t xml:space="preserve"> </w:t>
      </w:r>
      <w:r>
        <w:rPr>
          <w:rFonts w:hint="eastAsia"/>
        </w:rPr>
        <w:t>项目编号：</w:t>
      </w:r>
      <w:r>
        <w:rPr>
          <w:u w:val="single"/>
        </w:rPr>
        <w:t xml:space="preserve">                  </w:t>
      </w:r>
    </w:p>
    <w:tbl>
      <w:tblPr>
        <w:tblStyle w:val="50"/>
        <w:tblpPr w:leftFromText="180" w:rightFromText="180" w:vertAnchor="text" w:horzAnchor="margin" w:tblpX="1" w:tblpY="147"/>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10"/>
        <w:gridCol w:w="2555"/>
        <w:gridCol w:w="3528"/>
        <w:gridCol w:w="1186"/>
      </w:tblGrid>
      <w:tr w14:paraId="6AA36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1083" w:type="pct"/>
            <w:vAlign w:val="center"/>
          </w:tcPr>
          <w:p w14:paraId="1478294F">
            <w:pPr>
              <w:adjustRightInd w:val="0"/>
              <w:jc w:val="center"/>
              <w:rPr>
                <w:rFonts w:ascii="宋体" w:hAnsi="宋体"/>
                <w:bCs/>
              </w:rPr>
            </w:pPr>
            <w:r>
              <w:rPr>
                <w:rFonts w:hint="eastAsia" w:ascii="宋体" w:hAnsi="宋体"/>
                <w:bCs/>
              </w:rPr>
              <w:t>项目名称</w:t>
            </w:r>
          </w:p>
        </w:tc>
        <w:tc>
          <w:tcPr>
            <w:tcW w:w="1377" w:type="pct"/>
            <w:vAlign w:val="center"/>
          </w:tcPr>
          <w:p w14:paraId="5E050D48">
            <w:pPr>
              <w:adjustRightInd w:val="0"/>
              <w:jc w:val="center"/>
              <w:rPr>
                <w:rFonts w:ascii="宋体" w:hAnsi="宋体"/>
                <w:bCs/>
              </w:rPr>
            </w:pPr>
            <w:r>
              <w:rPr>
                <w:rFonts w:hint="eastAsia" w:ascii="宋体" w:hAnsi="宋体"/>
                <w:bCs/>
              </w:rPr>
              <w:t>最终响应报价（折扣率）</w:t>
            </w:r>
          </w:p>
        </w:tc>
        <w:tc>
          <w:tcPr>
            <w:tcW w:w="1901" w:type="pct"/>
            <w:vAlign w:val="center"/>
          </w:tcPr>
          <w:p w14:paraId="7CCFE7A6">
            <w:pPr>
              <w:adjustRightInd w:val="0"/>
              <w:jc w:val="center"/>
              <w:rPr>
                <w:rFonts w:ascii="宋体" w:hAnsi="宋体"/>
                <w:bCs/>
              </w:rPr>
            </w:pPr>
            <w:r>
              <w:rPr>
                <w:rFonts w:hint="eastAsia" w:ascii="宋体" w:hAnsi="宋体"/>
                <w:bCs/>
              </w:rPr>
              <w:t>最终响应报价（元）</w:t>
            </w:r>
          </w:p>
        </w:tc>
        <w:tc>
          <w:tcPr>
            <w:tcW w:w="637" w:type="pct"/>
            <w:vAlign w:val="center"/>
          </w:tcPr>
          <w:p w14:paraId="0D39456F">
            <w:pPr>
              <w:adjustRightInd w:val="0"/>
              <w:jc w:val="center"/>
              <w:rPr>
                <w:rFonts w:ascii="宋体" w:hAnsi="宋体"/>
                <w:bCs/>
              </w:rPr>
            </w:pPr>
            <w:r>
              <w:rPr>
                <w:rFonts w:hint="eastAsia" w:ascii="宋体" w:hAnsi="宋体"/>
                <w:bCs/>
              </w:rPr>
              <w:t>备注</w:t>
            </w:r>
          </w:p>
        </w:tc>
      </w:tr>
      <w:tr w14:paraId="1C864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5" w:hRule="atLeast"/>
        </w:trPr>
        <w:tc>
          <w:tcPr>
            <w:tcW w:w="1083" w:type="pct"/>
            <w:vAlign w:val="center"/>
          </w:tcPr>
          <w:p w14:paraId="73F5043A">
            <w:pPr>
              <w:adjustRightInd w:val="0"/>
              <w:jc w:val="left"/>
              <w:rPr>
                <w:rFonts w:ascii="宋体" w:hAnsi="宋体"/>
                <w:bCs/>
              </w:rPr>
            </w:pPr>
            <w:r>
              <w:rPr>
                <w:rFonts w:hint="eastAsia" w:ascii="宋体" w:hAnsi="宋体"/>
                <w:bCs/>
              </w:rPr>
              <w:t>皇岗海关29栋、31栋、33栋、34栋公有住房修缮项目</w:t>
            </w:r>
          </w:p>
        </w:tc>
        <w:tc>
          <w:tcPr>
            <w:tcW w:w="1377" w:type="pct"/>
            <w:vAlign w:val="center"/>
          </w:tcPr>
          <w:p w14:paraId="7D812AF3">
            <w:pPr>
              <w:jc w:val="center"/>
              <w:rPr>
                <w:rFonts w:ascii="仿宋_GB2312" w:eastAsia="仿宋_GB2312"/>
                <w:bCs/>
                <w:szCs w:val="21"/>
              </w:rPr>
            </w:pPr>
            <w:r>
              <w:rPr>
                <w:rFonts w:hint="eastAsia" w:ascii="仿宋_GB2312" w:eastAsia="仿宋_GB2312"/>
                <w:bCs/>
                <w:szCs w:val="21"/>
              </w:rPr>
              <w:t>%</w:t>
            </w:r>
          </w:p>
        </w:tc>
        <w:tc>
          <w:tcPr>
            <w:tcW w:w="1901" w:type="pct"/>
            <w:vAlign w:val="center"/>
          </w:tcPr>
          <w:p w14:paraId="31DF6D5B">
            <w:pPr>
              <w:adjustRightInd w:val="0"/>
              <w:jc w:val="left"/>
              <w:rPr>
                <w:rFonts w:ascii="宋体" w:hAnsi="宋体"/>
                <w:bCs/>
              </w:rPr>
            </w:pPr>
            <w:r>
              <w:rPr>
                <w:rFonts w:hint="eastAsia" w:ascii="宋体" w:hAnsi="宋体"/>
                <w:bCs/>
              </w:rPr>
              <w:t>大写：</w:t>
            </w:r>
          </w:p>
          <w:p w14:paraId="4517E80E">
            <w:pPr>
              <w:pStyle w:val="2"/>
              <w:ind w:firstLine="0" w:firstLineChars="0"/>
              <w:jc w:val="left"/>
            </w:pPr>
            <w:r>
              <w:rPr>
                <w:rFonts w:hint="eastAsia" w:ascii="宋体" w:hAnsi="宋体"/>
                <w:bCs/>
              </w:rPr>
              <w:t>小写：</w:t>
            </w:r>
          </w:p>
        </w:tc>
        <w:tc>
          <w:tcPr>
            <w:tcW w:w="637" w:type="pct"/>
            <w:vAlign w:val="center"/>
          </w:tcPr>
          <w:p w14:paraId="1D156372">
            <w:pPr>
              <w:adjustRightInd w:val="0"/>
              <w:jc w:val="left"/>
              <w:rPr>
                <w:rFonts w:ascii="宋体" w:hAnsi="宋体"/>
                <w:bCs/>
              </w:rPr>
            </w:pPr>
          </w:p>
        </w:tc>
      </w:tr>
      <w:tr w14:paraId="1526F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930" w:hRule="atLeast"/>
        </w:trPr>
        <w:tc>
          <w:tcPr>
            <w:tcW w:w="5000" w:type="pct"/>
            <w:gridSpan w:val="4"/>
            <w:vAlign w:val="center"/>
          </w:tcPr>
          <w:p w14:paraId="37FB31A7">
            <w:pPr>
              <w:adjustRightInd w:val="0"/>
              <w:rPr>
                <w:rFonts w:ascii="宋体" w:hAnsi="宋体"/>
                <w:bCs/>
              </w:rPr>
            </w:pPr>
            <w:r>
              <w:rPr>
                <w:rFonts w:hint="eastAsia" w:ascii="宋体" w:hAnsi="宋体"/>
                <w:bCs/>
              </w:rPr>
              <w:t>最终确定的质量保证及承诺（优惠条件）</w:t>
            </w:r>
          </w:p>
        </w:tc>
      </w:tr>
    </w:tbl>
    <w:p w14:paraId="506F6066">
      <w:pPr>
        <w:spacing w:line="240" w:lineRule="atLeast"/>
        <w:rPr>
          <w:rFonts w:ascii="宋体" w:hAnsi="宋体"/>
        </w:rPr>
      </w:pPr>
    </w:p>
    <w:p w14:paraId="45FD2FA7">
      <w:pPr>
        <w:jc w:val="left"/>
        <w:rPr>
          <w:rFonts w:ascii="宋体" w:hAnsi="宋体"/>
          <w:b/>
          <w:bCs/>
        </w:rPr>
      </w:pPr>
      <w:r>
        <w:rPr>
          <w:rFonts w:hint="eastAsia" w:ascii="宋体" w:hAnsi="宋体"/>
          <w:b/>
          <w:bCs/>
        </w:rPr>
        <w:t>注：</w:t>
      </w:r>
    </w:p>
    <w:p w14:paraId="48527E81">
      <w:pPr>
        <w:numPr>
          <w:ilvl w:val="255"/>
          <w:numId w:val="0"/>
        </w:numPr>
        <w:jc w:val="left"/>
        <w:rPr>
          <w:rFonts w:ascii="宋体" w:hAnsi="宋体"/>
          <w:b/>
          <w:bCs/>
        </w:rPr>
      </w:pPr>
      <w:r>
        <w:rPr>
          <w:rFonts w:hint="eastAsia" w:ascii="宋体" w:hAnsi="宋体"/>
          <w:b/>
          <w:bCs/>
        </w:rPr>
        <w:t>1.此表不需装订在磋商响应文件中，供应商事先须盖章、签字，并手持至磋商现场。在磋商期间，由磋商小组确定合格的供应商现场填写。</w:t>
      </w:r>
    </w:p>
    <w:p w14:paraId="0401AEAC">
      <w:pPr>
        <w:numPr>
          <w:ilvl w:val="255"/>
          <w:numId w:val="0"/>
        </w:numPr>
        <w:jc w:val="left"/>
        <w:rPr>
          <w:rFonts w:ascii="宋体" w:hAnsi="宋体"/>
          <w:b/>
          <w:bCs/>
        </w:rPr>
      </w:pPr>
      <w:r>
        <w:rPr>
          <w:rFonts w:hint="eastAsia" w:ascii="宋体" w:hAnsi="宋体"/>
          <w:b/>
          <w:bCs/>
        </w:rPr>
        <w:t>2.基于工程项目价格特殊性，本次磋商第二轮（最后磋商报价）采用“折扣率”报价。即磋商响应文件中的报价为第一轮报价，待评审专家与供应商磋商后，供应商以第一轮报价为基础报折扣率，得出最终磋商报价。例如：供应商磋商响应文件中报价为60万元，第二轮折扣率为90%，则该供应商最终报价为60万元×90%=54万元。</w:t>
      </w:r>
    </w:p>
    <w:p w14:paraId="6CD2DBAA">
      <w:pPr>
        <w:numPr>
          <w:ilvl w:val="255"/>
          <w:numId w:val="0"/>
        </w:numPr>
        <w:jc w:val="left"/>
        <w:rPr>
          <w:rFonts w:ascii="宋体" w:hAnsi="宋体"/>
          <w:b/>
          <w:bCs/>
        </w:rPr>
      </w:pPr>
      <w:r>
        <w:rPr>
          <w:rFonts w:hint="eastAsia" w:ascii="宋体" w:hAnsi="宋体"/>
          <w:b/>
          <w:bCs/>
        </w:rPr>
        <w:t>3.折扣率须以百分比形式填写，如95%，最多保留至小数点后两位。0%≤折扣率≤100%，在此区间外的折扣率均作无效响应处理。</w:t>
      </w:r>
    </w:p>
    <w:p w14:paraId="000D4955">
      <w:pPr>
        <w:numPr>
          <w:ilvl w:val="255"/>
          <w:numId w:val="0"/>
        </w:numPr>
        <w:jc w:val="left"/>
        <w:rPr>
          <w:rFonts w:ascii="宋体" w:hAnsi="宋体"/>
          <w:b/>
          <w:bCs/>
        </w:rPr>
      </w:pPr>
      <w:r>
        <w:rPr>
          <w:rFonts w:hint="eastAsia" w:ascii="宋体" w:hAnsi="宋体"/>
          <w:b/>
          <w:bCs/>
        </w:rPr>
        <w:t>4.最终报价结束后供应商须在磋商当日提供与最终报价对应的《工程量清单报价明细表》原件及电子扫描件（加盖供应商公章。格式可参照前述“工程量清单报价格式”）。</w:t>
      </w:r>
    </w:p>
    <w:p w14:paraId="56CF3EB0">
      <w:pPr>
        <w:pStyle w:val="2"/>
        <w:ind w:firstLine="0" w:firstLineChars="0"/>
      </w:pPr>
    </w:p>
    <w:p w14:paraId="11D30D46">
      <w:pPr>
        <w:pStyle w:val="2"/>
        <w:ind w:firstLine="420"/>
      </w:pPr>
    </w:p>
    <w:p w14:paraId="0F12FC75">
      <w:pPr>
        <w:rPr>
          <w:rFonts w:ascii="仿宋_GB2312" w:eastAsia="仿宋_GB2312"/>
          <w:b/>
          <w:sz w:val="24"/>
        </w:rPr>
      </w:pPr>
    </w:p>
    <w:p w14:paraId="6058F825">
      <w:pPr>
        <w:ind w:firstLine="420" w:firstLineChars="200"/>
      </w:pPr>
      <w:r>
        <w:rPr>
          <w:rFonts w:hint="eastAsia"/>
        </w:rPr>
        <w:t>供应商名称（盖公章）：</w:t>
      </w:r>
    </w:p>
    <w:p w14:paraId="775BE19C">
      <w:pPr>
        <w:tabs>
          <w:tab w:val="left" w:pos="2601"/>
        </w:tabs>
        <w:ind w:firstLine="420" w:firstLineChars="200"/>
      </w:pPr>
      <w:r>
        <w:tab/>
      </w:r>
    </w:p>
    <w:p w14:paraId="15311243">
      <w:pPr>
        <w:ind w:firstLine="420" w:firstLineChars="200"/>
      </w:pPr>
      <w:r>
        <w:rPr>
          <w:rFonts w:hint="eastAsia"/>
        </w:rPr>
        <w:t>法定代表人或供应商授权代表（签名或盖章）：</w:t>
      </w:r>
    </w:p>
    <w:p w14:paraId="1AF33D07">
      <w:pPr>
        <w:ind w:firstLine="420" w:firstLineChars="200"/>
      </w:pPr>
    </w:p>
    <w:p w14:paraId="2A5155FC">
      <w:pPr>
        <w:ind w:firstLine="420" w:firstLineChars="200"/>
      </w:pP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14:paraId="71F6E6CD">
      <w:pPr>
        <w:pStyle w:val="5"/>
        <w:numPr>
          <w:ilvl w:val="0"/>
          <w:numId w:val="0"/>
        </w:numPr>
      </w:pPr>
      <w:r>
        <w:br w:type="page"/>
      </w:r>
      <w:bookmarkStart w:id="271" w:name="_Toc151802160"/>
      <w:bookmarkStart w:id="272" w:name="_Toc36822692"/>
      <w:bookmarkStart w:id="273" w:name="_Toc4943774"/>
      <w:bookmarkStart w:id="274" w:name="_Toc11165666"/>
      <w:bookmarkStart w:id="275" w:name="_Toc14427251"/>
      <w:bookmarkStart w:id="276" w:name="_Toc18812"/>
      <w:r>
        <w:t>9.</w:t>
      </w:r>
      <w:r>
        <w:rPr>
          <w:rFonts w:hint="eastAsia"/>
        </w:rPr>
        <w:t>实质性响应条款偏离表</w:t>
      </w:r>
      <w:bookmarkEnd w:id="271"/>
      <w:bookmarkEnd w:id="272"/>
      <w:bookmarkEnd w:id="273"/>
      <w:bookmarkEnd w:id="274"/>
      <w:bookmarkEnd w:id="275"/>
      <w:bookmarkEnd w:id="276"/>
    </w:p>
    <w:p w14:paraId="4F023FD8">
      <w:pPr>
        <w:spacing w:line="300" w:lineRule="auto"/>
        <w:jc w:val="center"/>
        <w:rPr>
          <w:rFonts w:ascii="宋体" w:hAnsi="Times New Roman"/>
          <w:bCs/>
          <w:sz w:val="32"/>
          <w:szCs w:val="32"/>
        </w:rPr>
      </w:pPr>
      <w:r>
        <w:rPr>
          <w:rFonts w:hint="eastAsia" w:ascii="宋体" w:hAnsi="Times New Roman"/>
          <w:bCs/>
          <w:sz w:val="32"/>
          <w:szCs w:val="32"/>
        </w:rPr>
        <w:t>实质性响应条款偏离表</w:t>
      </w:r>
    </w:p>
    <w:p w14:paraId="1D43CDB9">
      <w:pPr>
        <w:widowControl/>
        <w:shd w:val="clear" w:color="auto" w:fill="FFFFFF"/>
        <w:adjustRightInd w:val="0"/>
        <w:snapToGrid w:val="0"/>
        <w:spacing w:line="360" w:lineRule="auto"/>
        <w:jc w:val="left"/>
        <w:rPr>
          <w:rFonts w:ascii="宋体" w:hAnsi="Times New Roman" w:cs="宋体"/>
          <w:kern w:val="0"/>
        </w:rPr>
      </w:pPr>
    </w:p>
    <w:p w14:paraId="59189A8E">
      <w:pPr>
        <w:widowControl/>
        <w:shd w:val="clear" w:color="auto" w:fill="FFFFFF"/>
        <w:adjustRightInd w:val="0"/>
        <w:snapToGrid w:val="0"/>
        <w:spacing w:line="360" w:lineRule="auto"/>
        <w:jc w:val="left"/>
        <w:rPr>
          <w:rFonts w:ascii="宋体" w:hAnsi="Times New Roman" w:cs="宋体"/>
          <w:kern w:val="0"/>
          <w:szCs w:val="21"/>
          <w:u w:val="single"/>
        </w:rPr>
      </w:pPr>
      <w:r>
        <w:rPr>
          <w:rFonts w:hint="eastAsia" w:ascii="宋体" w:hAnsi="Times New Roman" w:cs="宋体"/>
          <w:kern w:val="0"/>
        </w:rPr>
        <w:t>项目名称：</w:t>
      </w:r>
      <w:r>
        <w:rPr>
          <w:rFonts w:ascii="宋体" w:hAnsi="Times New Roman" w:cs="宋体"/>
          <w:kern w:val="0"/>
          <w:szCs w:val="21"/>
          <w:u w:val="single"/>
        </w:rPr>
        <w:t>______________________</w:t>
      </w:r>
      <w:r>
        <w:rPr>
          <w:rFonts w:hint="eastAsia" w:ascii="宋体" w:hAnsi="Times New Roman" w:cs="宋体"/>
          <w:kern w:val="0"/>
        </w:rPr>
        <w:t>项目编号：</w:t>
      </w:r>
      <w:r>
        <w:rPr>
          <w:rFonts w:ascii="宋体" w:hAnsi="Times New Roman" w:cs="宋体"/>
          <w:kern w:val="0"/>
          <w:szCs w:val="21"/>
          <w:u w:val="single"/>
        </w:rPr>
        <w:t>______________________</w:t>
      </w:r>
    </w:p>
    <w:tbl>
      <w:tblPr>
        <w:tblStyle w:val="5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3897"/>
        <w:gridCol w:w="3900"/>
        <w:gridCol w:w="1063"/>
      </w:tblGrid>
      <w:tr w14:paraId="22AF1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9" w:type="pct"/>
            <w:vAlign w:val="center"/>
          </w:tcPr>
          <w:p w14:paraId="0933CB06">
            <w:pPr>
              <w:widowControl/>
              <w:shd w:val="clear" w:color="auto" w:fill="FFFFFF"/>
              <w:tabs>
                <w:tab w:val="left" w:pos="426"/>
              </w:tabs>
              <w:adjustRightInd w:val="0"/>
              <w:snapToGrid w:val="0"/>
              <w:jc w:val="center"/>
              <w:rPr>
                <w:rFonts w:ascii="宋体" w:hAnsi="宋体" w:cs="宋体"/>
                <w:kern w:val="0"/>
                <w:szCs w:val="21"/>
              </w:rPr>
            </w:pPr>
            <w:r>
              <w:rPr>
                <w:rFonts w:hint="eastAsia" w:ascii="宋体" w:hAnsi="宋体" w:cs="宋体"/>
                <w:kern w:val="0"/>
                <w:szCs w:val="21"/>
              </w:rPr>
              <w:t>序号</w:t>
            </w:r>
          </w:p>
        </w:tc>
        <w:tc>
          <w:tcPr>
            <w:tcW w:w="2098" w:type="pct"/>
            <w:vAlign w:val="center"/>
          </w:tcPr>
          <w:p w14:paraId="6E8D2681">
            <w:pPr>
              <w:widowControl/>
              <w:shd w:val="clear" w:color="auto" w:fill="FFFFFF"/>
              <w:tabs>
                <w:tab w:val="left" w:pos="426"/>
              </w:tabs>
              <w:adjustRightInd w:val="0"/>
              <w:snapToGrid w:val="0"/>
              <w:jc w:val="center"/>
              <w:rPr>
                <w:rFonts w:ascii="宋体" w:hAnsi="宋体" w:cs="宋体"/>
                <w:kern w:val="0"/>
                <w:szCs w:val="21"/>
              </w:rPr>
            </w:pPr>
            <w:r>
              <w:rPr>
                <w:rFonts w:hint="eastAsia" w:ascii="宋体" w:hAnsi="宋体" w:cs="宋体"/>
                <w:kern w:val="0"/>
                <w:szCs w:val="21"/>
              </w:rPr>
              <w:t>采购人要求内容</w:t>
            </w:r>
          </w:p>
        </w:tc>
        <w:tc>
          <w:tcPr>
            <w:tcW w:w="2099" w:type="pct"/>
            <w:vAlign w:val="center"/>
          </w:tcPr>
          <w:p w14:paraId="119B39DB">
            <w:pPr>
              <w:widowControl/>
              <w:shd w:val="clear" w:color="auto" w:fill="FFFFFF"/>
              <w:tabs>
                <w:tab w:val="left" w:pos="426"/>
              </w:tabs>
              <w:adjustRightInd w:val="0"/>
              <w:snapToGrid w:val="0"/>
              <w:jc w:val="center"/>
              <w:rPr>
                <w:rFonts w:ascii="宋体" w:hAnsi="宋体" w:cs="宋体"/>
                <w:kern w:val="0"/>
                <w:szCs w:val="21"/>
              </w:rPr>
            </w:pPr>
            <w:r>
              <w:rPr>
                <w:rFonts w:hint="eastAsia" w:ascii="宋体" w:hAnsi="宋体" w:cs="宋体"/>
                <w:kern w:val="0"/>
                <w:szCs w:val="21"/>
              </w:rPr>
              <w:t>供应商响应情况</w:t>
            </w:r>
          </w:p>
        </w:tc>
        <w:tc>
          <w:tcPr>
            <w:tcW w:w="572" w:type="pct"/>
            <w:vAlign w:val="center"/>
          </w:tcPr>
          <w:p w14:paraId="1E7ACEC1">
            <w:pPr>
              <w:widowControl/>
              <w:shd w:val="clear" w:color="auto" w:fill="FFFFFF"/>
              <w:tabs>
                <w:tab w:val="left" w:pos="426"/>
              </w:tabs>
              <w:adjustRightInd w:val="0"/>
              <w:snapToGrid w:val="0"/>
              <w:jc w:val="center"/>
              <w:rPr>
                <w:rFonts w:ascii="宋体" w:hAnsi="宋体" w:cs="宋体"/>
                <w:kern w:val="0"/>
                <w:szCs w:val="21"/>
              </w:rPr>
            </w:pPr>
            <w:r>
              <w:rPr>
                <w:rFonts w:hint="eastAsia" w:ascii="宋体" w:hAnsi="宋体" w:cs="宋体"/>
                <w:kern w:val="0"/>
                <w:szCs w:val="21"/>
              </w:rPr>
              <w:t>偏离情况</w:t>
            </w:r>
          </w:p>
        </w:tc>
      </w:tr>
      <w:tr w14:paraId="58BFA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 w:hRule="atLeast"/>
          <w:jc w:val="center"/>
        </w:trPr>
        <w:tc>
          <w:tcPr>
            <w:tcW w:w="229" w:type="pct"/>
            <w:vAlign w:val="center"/>
          </w:tcPr>
          <w:p w14:paraId="566D5E14">
            <w:pPr>
              <w:widowControl/>
              <w:shd w:val="clear" w:color="auto" w:fill="FFFFFF"/>
              <w:tabs>
                <w:tab w:val="left" w:pos="426"/>
              </w:tabs>
              <w:adjustRightInd w:val="0"/>
              <w:snapToGrid w:val="0"/>
              <w:jc w:val="center"/>
              <w:rPr>
                <w:rFonts w:ascii="宋体" w:hAnsi="宋体" w:cs="宋体"/>
                <w:kern w:val="0"/>
                <w:szCs w:val="21"/>
              </w:rPr>
            </w:pPr>
            <w:r>
              <w:rPr>
                <w:rFonts w:ascii="宋体" w:hAnsi="宋体" w:cs="宋体"/>
                <w:kern w:val="0"/>
                <w:szCs w:val="21"/>
              </w:rPr>
              <w:t>1</w:t>
            </w:r>
          </w:p>
        </w:tc>
        <w:tc>
          <w:tcPr>
            <w:tcW w:w="2098" w:type="pct"/>
            <w:vAlign w:val="center"/>
          </w:tcPr>
          <w:p w14:paraId="6603B406">
            <w:pPr>
              <w:jc w:val="left"/>
              <w:rPr>
                <w:rFonts w:ascii="宋体" w:hAnsi="Times New Roman" w:cs="宋体"/>
                <w:kern w:val="0"/>
                <w:szCs w:val="21"/>
              </w:rPr>
            </w:pPr>
            <w:r>
              <w:rPr>
                <w:rFonts w:hint="eastAsia"/>
                <w:bCs/>
                <w:szCs w:val="21"/>
              </w:rPr>
              <w:t>完全满足项目需求书中带★号条款。</w:t>
            </w:r>
          </w:p>
        </w:tc>
        <w:tc>
          <w:tcPr>
            <w:tcW w:w="2099" w:type="pct"/>
            <w:vAlign w:val="center"/>
          </w:tcPr>
          <w:p w14:paraId="71E49269">
            <w:pPr>
              <w:adjustRightInd w:val="0"/>
              <w:snapToGrid w:val="0"/>
              <w:ind w:firstLine="420" w:firstLineChars="200"/>
              <w:jc w:val="left"/>
              <w:rPr>
                <w:rFonts w:ascii="宋体" w:hAnsi="Times New Roman" w:cs="宋体"/>
                <w:kern w:val="0"/>
                <w:szCs w:val="21"/>
              </w:rPr>
            </w:pPr>
          </w:p>
        </w:tc>
        <w:tc>
          <w:tcPr>
            <w:tcW w:w="572" w:type="pct"/>
            <w:vAlign w:val="center"/>
          </w:tcPr>
          <w:p w14:paraId="413BD581">
            <w:pPr>
              <w:widowControl/>
              <w:shd w:val="clear" w:color="auto" w:fill="FFFFFF"/>
              <w:tabs>
                <w:tab w:val="left" w:pos="426"/>
              </w:tabs>
              <w:adjustRightInd w:val="0"/>
              <w:snapToGrid w:val="0"/>
              <w:jc w:val="center"/>
              <w:rPr>
                <w:rFonts w:ascii="宋体" w:hAnsi="宋体" w:cs="宋体"/>
                <w:b/>
                <w:kern w:val="0"/>
                <w:szCs w:val="21"/>
              </w:rPr>
            </w:pPr>
          </w:p>
        </w:tc>
      </w:tr>
    </w:tbl>
    <w:p w14:paraId="1FAC2895">
      <w:pPr>
        <w:widowControl/>
        <w:shd w:val="clear" w:color="auto" w:fill="FFFFFF"/>
        <w:tabs>
          <w:tab w:val="left" w:pos="426"/>
        </w:tabs>
        <w:adjustRightInd w:val="0"/>
        <w:snapToGrid w:val="0"/>
        <w:spacing w:line="360" w:lineRule="auto"/>
        <w:jc w:val="left"/>
        <w:rPr>
          <w:rFonts w:ascii="Times New Roman" w:hAnsi="Times New Roman"/>
        </w:rPr>
      </w:pPr>
      <w:r>
        <w:rPr>
          <w:rFonts w:hint="eastAsia" w:ascii="Times New Roman" w:hAnsi="Times New Roman"/>
        </w:rPr>
        <w:t>注：</w:t>
      </w:r>
      <w:r>
        <w:rPr>
          <w:rFonts w:ascii="Times New Roman" w:hAnsi="Times New Roman"/>
        </w:rPr>
        <w:t>1.</w:t>
      </w:r>
      <w:r>
        <w:rPr>
          <w:rFonts w:hint="eastAsia" w:ascii="Times New Roman" w:hAnsi="Times New Roman"/>
        </w:rPr>
        <w:t>上表所列内容为不可负偏离条款，如供应商该部分内容出现负偏离或未对该部分内容进行响应，将按照符合性检查表作无效标处理；</w:t>
      </w:r>
    </w:p>
    <w:p w14:paraId="58769A95">
      <w:pPr>
        <w:widowControl/>
        <w:shd w:val="clear" w:color="auto" w:fill="FFFFFF"/>
        <w:tabs>
          <w:tab w:val="left" w:pos="426"/>
        </w:tabs>
        <w:adjustRightInd w:val="0"/>
        <w:snapToGrid w:val="0"/>
        <w:spacing w:line="360" w:lineRule="auto"/>
        <w:ind w:firstLine="411" w:firstLineChars="195"/>
        <w:jc w:val="left"/>
        <w:rPr>
          <w:rFonts w:ascii="宋体" w:hAnsi="Times New Roman" w:cs="宋体"/>
          <w:b/>
          <w:kern w:val="0"/>
        </w:rPr>
      </w:pPr>
      <w:r>
        <w:rPr>
          <w:rFonts w:ascii="宋体" w:hAnsi="Times New Roman" w:cs="宋体"/>
          <w:b/>
          <w:kern w:val="0"/>
        </w:rPr>
        <w:t>2.</w:t>
      </w:r>
      <w:r>
        <w:rPr>
          <w:rFonts w:hint="eastAsia" w:ascii="宋体" w:hAnsi="Times New Roman" w:cs="宋体"/>
          <w:b/>
          <w:kern w:val="0"/>
        </w:rPr>
        <w:t>“偏离情况”一栏应如实填写“正偏离”、“负偏离”或“无偏离”。</w:t>
      </w:r>
    </w:p>
    <w:p w14:paraId="1EB86B0F">
      <w:pPr>
        <w:widowControl/>
        <w:shd w:val="clear" w:color="auto" w:fill="FFFFFF"/>
        <w:adjustRightInd w:val="0"/>
        <w:snapToGrid w:val="0"/>
        <w:spacing w:line="360" w:lineRule="auto"/>
        <w:ind w:firstLine="420"/>
        <w:rPr>
          <w:rFonts w:ascii="宋体" w:hAnsi="Times New Roman" w:cs="宋体"/>
          <w:b/>
          <w:bCs/>
          <w:kern w:val="0"/>
        </w:rPr>
      </w:pPr>
      <w:r>
        <w:rPr>
          <w:rFonts w:hint="eastAsia" w:ascii="宋体" w:hAnsi="Times New Roman" w:cs="宋体"/>
          <w:b/>
          <w:bCs/>
          <w:kern w:val="0"/>
        </w:rPr>
        <w:t>3.要求提供证明材料但供应商未提供的视为“负偏离”。</w:t>
      </w:r>
    </w:p>
    <w:p w14:paraId="6E94C0BD">
      <w:pPr>
        <w:pStyle w:val="26"/>
      </w:pPr>
    </w:p>
    <w:p w14:paraId="0C204684">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单位名称：</w:t>
      </w:r>
      <w:r>
        <w:rPr>
          <w:rFonts w:ascii="宋体" w:hAnsi="Times New Roman" w:cs="宋体"/>
          <w:kern w:val="0"/>
          <w:szCs w:val="21"/>
          <w:u w:val="single"/>
        </w:rPr>
        <w:t>____________________________________________</w:t>
      </w:r>
    </w:p>
    <w:p w14:paraId="466E1DEA">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法定代表人或供应商授权代表（签名或盖章）：</w:t>
      </w:r>
      <w:r>
        <w:rPr>
          <w:rFonts w:ascii="宋体" w:hAnsi="Times New Roman" w:cs="宋体"/>
          <w:kern w:val="0"/>
          <w:szCs w:val="21"/>
          <w:u w:val="single"/>
        </w:rPr>
        <w:t>______________________</w:t>
      </w:r>
    </w:p>
    <w:p w14:paraId="0DDC7695">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单位地址：</w:t>
      </w:r>
      <w:r>
        <w:rPr>
          <w:rFonts w:ascii="宋体" w:hAnsi="Times New Roman" w:cs="宋体"/>
          <w:kern w:val="0"/>
          <w:szCs w:val="21"/>
          <w:u w:val="single"/>
        </w:rPr>
        <w:t>______________________</w:t>
      </w:r>
    </w:p>
    <w:p w14:paraId="0FA84AE4">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单位公章：</w:t>
      </w:r>
      <w:r>
        <w:rPr>
          <w:rFonts w:ascii="宋体" w:hAnsi="Times New Roman" w:cs="宋体"/>
          <w:kern w:val="0"/>
          <w:szCs w:val="21"/>
          <w:u w:val="single"/>
        </w:rPr>
        <w:t>______________________</w:t>
      </w:r>
    </w:p>
    <w:p w14:paraId="5B2186A0">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邮政编码：</w:t>
      </w:r>
      <w:r>
        <w:rPr>
          <w:rFonts w:ascii="宋体" w:hAnsi="Times New Roman" w:cs="宋体"/>
          <w:kern w:val="0"/>
          <w:szCs w:val="21"/>
          <w:u w:val="single"/>
        </w:rPr>
        <w:t>______________________</w:t>
      </w:r>
      <w:r>
        <w:rPr>
          <w:rFonts w:hint="eastAsia" w:ascii="宋体" w:hAnsi="Times New Roman" w:cs="宋体"/>
          <w:kern w:val="0"/>
        </w:rPr>
        <w:t>日期：</w:t>
      </w:r>
      <w:r>
        <w:rPr>
          <w:rFonts w:ascii="宋体" w:hAnsi="Times New Roman" w:cs="宋体"/>
          <w:kern w:val="0"/>
          <w:szCs w:val="21"/>
          <w:u w:val="single"/>
        </w:rPr>
        <w:t>______________________</w:t>
      </w:r>
    </w:p>
    <w:p w14:paraId="31583DEF">
      <w:pPr>
        <w:widowControl/>
        <w:shd w:val="clear" w:color="auto" w:fill="FFFFFF"/>
        <w:adjustRightInd w:val="0"/>
        <w:snapToGrid w:val="0"/>
        <w:spacing w:line="360" w:lineRule="auto"/>
        <w:ind w:firstLine="420"/>
        <w:rPr>
          <w:rFonts w:ascii="宋体" w:hAnsi="Times New Roman" w:cs="宋体"/>
          <w:kern w:val="0"/>
          <w:szCs w:val="21"/>
          <w:u w:val="single"/>
        </w:rPr>
      </w:pPr>
      <w:r>
        <w:rPr>
          <w:rFonts w:hint="eastAsia" w:ascii="宋体" w:hAnsi="Times New Roman" w:cs="宋体"/>
          <w:kern w:val="0"/>
        </w:rPr>
        <w:t>联系电话：</w:t>
      </w:r>
      <w:r>
        <w:rPr>
          <w:rFonts w:ascii="宋体" w:hAnsi="Times New Roman" w:cs="宋体"/>
          <w:kern w:val="0"/>
          <w:szCs w:val="21"/>
          <w:u w:val="single"/>
        </w:rPr>
        <w:t>______________________</w:t>
      </w:r>
    </w:p>
    <w:p w14:paraId="13D03DF3">
      <w:pPr>
        <w:widowControl/>
        <w:jc w:val="left"/>
        <w:rPr>
          <w:rFonts w:ascii="宋体" w:hAnsi="Times New Roman" w:cs="宋体"/>
          <w:kern w:val="0"/>
          <w:szCs w:val="21"/>
          <w:u w:val="single"/>
        </w:rPr>
      </w:pPr>
      <w:r>
        <w:br w:type="page"/>
      </w:r>
    </w:p>
    <w:p w14:paraId="2D4D8290">
      <w:pPr>
        <w:pStyle w:val="5"/>
        <w:numPr>
          <w:ilvl w:val="0"/>
          <w:numId w:val="0"/>
        </w:numPr>
      </w:pPr>
      <w:bookmarkStart w:id="277" w:name="_Toc151802161"/>
      <w:bookmarkStart w:id="278" w:name="_Toc11109"/>
      <w:r>
        <w:t>10.项目需求响应情况表（实质性条款除外）</w:t>
      </w:r>
      <w:bookmarkEnd w:id="277"/>
      <w:bookmarkEnd w:id="278"/>
    </w:p>
    <w:p w14:paraId="519511B8">
      <w:pPr>
        <w:adjustRightInd w:val="0"/>
        <w:snapToGrid w:val="0"/>
        <w:spacing w:line="300" w:lineRule="auto"/>
        <w:jc w:val="center"/>
        <w:rPr>
          <w:rFonts w:ascii="Times New Roman" w:hAnsi="Times New Roman"/>
          <w:bCs/>
          <w:sz w:val="32"/>
          <w:szCs w:val="32"/>
        </w:rPr>
      </w:pPr>
      <w:r>
        <w:rPr>
          <w:rFonts w:hint="eastAsia" w:ascii="Times New Roman" w:hAnsi="Times New Roman"/>
          <w:bCs/>
          <w:sz w:val="32"/>
          <w:szCs w:val="32"/>
        </w:rPr>
        <w:t>项目需求响应情况表（实质性条款除外）</w:t>
      </w:r>
    </w:p>
    <w:p w14:paraId="1755715E">
      <w:pPr>
        <w:widowControl/>
        <w:shd w:val="clear" w:color="auto" w:fill="FFFFFF"/>
        <w:adjustRightInd w:val="0"/>
        <w:snapToGrid w:val="0"/>
        <w:spacing w:line="360" w:lineRule="auto"/>
        <w:rPr>
          <w:rFonts w:ascii="Times New Roman" w:hAnsi="Times New Roman"/>
          <w:kern w:val="0"/>
        </w:rPr>
      </w:pPr>
    </w:p>
    <w:p w14:paraId="736706CE">
      <w:pPr>
        <w:widowControl/>
        <w:shd w:val="clear" w:color="auto" w:fill="FFFFFF"/>
        <w:adjustRightInd w:val="0"/>
        <w:snapToGrid w:val="0"/>
        <w:spacing w:line="360" w:lineRule="auto"/>
        <w:rPr>
          <w:rFonts w:ascii="Times New Roman" w:hAnsi="Times New Roman"/>
          <w:kern w:val="0"/>
        </w:rPr>
      </w:pPr>
      <w:r>
        <w:rPr>
          <w:rFonts w:hint="eastAsia" w:ascii="Times New Roman" w:hAnsi="Times New Roman"/>
          <w:kern w:val="0"/>
        </w:rPr>
        <w:t>项目名称：</w:t>
      </w:r>
      <w:r>
        <w:rPr>
          <w:rFonts w:ascii="Times New Roman" w:hAnsi="Times New Roman"/>
          <w:kern w:val="0"/>
          <w:u w:val="single"/>
        </w:rPr>
        <w:t>_____________________________________</w:t>
      </w:r>
      <w:r>
        <w:rPr>
          <w:rFonts w:hint="eastAsia" w:ascii="Times New Roman" w:hAnsi="Times New Roman"/>
          <w:kern w:val="0"/>
        </w:rPr>
        <w:t>采购项目编号：</w:t>
      </w:r>
      <w:r>
        <w:rPr>
          <w:rFonts w:ascii="Times New Roman" w:hAnsi="Times New Roman"/>
          <w:kern w:val="0"/>
          <w:u w:val="single"/>
        </w:rPr>
        <w:t>____________________</w:t>
      </w:r>
    </w:p>
    <w:tbl>
      <w:tblPr>
        <w:tblStyle w:val="5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8"/>
        <w:gridCol w:w="3105"/>
        <w:gridCol w:w="5373"/>
      </w:tblGrid>
      <w:tr w14:paraId="781DB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435" w:type="pct"/>
            <w:vAlign w:val="center"/>
          </w:tcPr>
          <w:p w14:paraId="4356F68B">
            <w:pPr>
              <w:widowControl/>
              <w:shd w:val="clear" w:color="auto" w:fill="FFFFFF"/>
              <w:tabs>
                <w:tab w:val="left" w:pos="426"/>
              </w:tabs>
              <w:adjustRightInd w:val="0"/>
              <w:snapToGrid w:val="0"/>
              <w:jc w:val="center"/>
              <w:rPr>
                <w:rFonts w:ascii="Times New Roman" w:hAnsi="Times New Roman"/>
                <w:kern w:val="0"/>
                <w:szCs w:val="21"/>
              </w:rPr>
            </w:pPr>
            <w:r>
              <w:rPr>
                <w:rFonts w:hint="eastAsia" w:ascii="Times New Roman" w:hAnsi="Times New Roman"/>
                <w:kern w:val="0"/>
                <w:szCs w:val="21"/>
              </w:rPr>
              <w:t>序号</w:t>
            </w:r>
          </w:p>
        </w:tc>
        <w:tc>
          <w:tcPr>
            <w:tcW w:w="1672" w:type="pct"/>
            <w:vAlign w:val="center"/>
          </w:tcPr>
          <w:p w14:paraId="7E6158E6">
            <w:pPr>
              <w:widowControl/>
              <w:shd w:val="clear" w:color="auto" w:fill="FFFFFF"/>
              <w:tabs>
                <w:tab w:val="left" w:pos="426"/>
              </w:tabs>
              <w:adjustRightInd w:val="0"/>
              <w:snapToGrid w:val="0"/>
              <w:jc w:val="center"/>
              <w:rPr>
                <w:rFonts w:ascii="Times New Roman" w:hAnsi="Times New Roman"/>
                <w:kern w:val="0"/>
                <w:szCs w:val="21"/>
              </w:rPr>
            </w:pPr>
            <w:r>
              <w:rPr>
                <w:rFonts w:hint="eastAsia" w:ascii="Times New Roman" w:hAnsi="Times New Roman"/>
                <w:kern w:val="0"/>
                <w:szCs w:val="21"/>
              </w:rPr>
              <w:t>竞争性磋商文件要求</w:t>
            </w:r>
          </w:p>
        </w:tc>
        <w:tc>
          <w:tcPr>
            <w:tcW w:w="2893" w:type="pct"/>
            <w:vAlign w:val="center"/>
          </w:tcPr>
          <w:p w14:paraId="6EF3C63D">
            <w:pPr>
              <w:widowControl/>
              <w:shd w:val="clear" w:color="auto" w:fill="FFFFFF"/>
              <w:tabs>
                <w:tab w:val="left" w:pos="426"/>
              </w:tabs>
              <w:adjustRightInd w:val="0"/>
              <w:snapToGrid w:val="0"/>
              <w:jc w:val="center"/>
              <w:rPr>
                <w:rFonts w:ascii="Times New Roman" w:hAnsi="Times New Roman"/>
                <w:kern w:val="0"/>
                <w:szCs w:val="21"/>
              </w:rPr>
            </w:pPr>
            <w:r>
              <w:rPr>
                <w:rFonts w:hint="eastAsia" w:ascii="Times New Roman" w:hAnsi="Times New Roman"/>
                <w:kern w:val="0"/>
                <w:szCs w:val="21"/>
              </w:rPr>
              <w:t>响应文件响应情况</w:t>
            </w:r>
          </w:p>
        </w:tc>
      </w:tr>
      <w:tr w14:paraId="4AED1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5" w:type="pct"/>
            <w:vAlign w:val="center"/>
          </w:tcPr>
          <w:p w14:paraId="75D07E43">
            <w:pPr>
              <w:widowControl/>
              <w:shd w:val="clear" w:color="auto" w:fill="FFFFFF"/>
              <w:tabs>
                <w:tab w:val="left" w:pos="426"/>
              </w:tabs>
              <w:adjustRightInd w:val="0"/>
              <w:snapToGrid w:val="0"/>
              <w:jc w:val="center"/>
              <w:rPr>
                <w:rFonts w:ascii="Times New Roman" w:hAnsi="Times New Roman"/>
                <w:kern w:val="0"/>
                <w:szCs w:val="21"/>
              </w:rPr>
            </w:pPr>
            <w:r>
              <w:rPr>
                <w:rFonts w:ascii="Times New Roman" w:hAnsi="Times New Roman"/>
                <w:kern w:val="0"/>
                <w:szCs w:val="21"/>
              </w:rPr>
              <w:t>1</w:t>
            </w:r>
          </w:p>
        </w:tc>
        <w:tc>
          <w:tcPr>
            <w:tcW w:w="1672" w:type="pct"/>
            <w:vAlign w:val="center"/>
          </w:tcPr>
          <w:p w14:paraId="3458DE37">
            <w:pPr>
              <w:widowControl/>
              <w:shd w:val="clear" w:color="auto" w:fill="FFFFFF"/>
              <w:tabs>
                <w:tab w:val="left" w:pos="426"/>
              </w:tabs>
              <w:adjustRightInd w:val="0"/>
              <w:snapToGrid w:val="0"/>
              <w:jc w:val="center"/>
              <w:rPr>
                <w:rFonts w:ascii="Times New Roman" w:hAnsi="Times New Roman"/>
                <w:bCs/>
                <w:kern w:val="0"/>
              </w:rPr>
            </w:pPr>
            <w:r>
              <w:rPr>
                <w:rFonts w:hint="eastAsia" w:ascii="Times New Roman" w:hAnsi="Times New Roman"/>
                <w:kern w:val="0"/>
              </w:rPr>
              <w:t>竞争性磋商文件第四章</w:t>
            </w:r>
            <w:r>
              <w:rPr>
                <w:rFonts w:ascii="Times New Roman" w:hAnsi="Times New Roman"/>
                <w:kern w:val="0"/>
              </w:rPr>
              <w:t xml:space="preserve"> </w:t>
            </w:r>
            <w:r>
              <w:rPr>
                <w:rFonts w:hint="eastAsia" w:ascii="Times New Roman" w:hAnsi="Times New Roman"/>
                <w:bCs/>
                <w:kern w:val="0"/>
              </w:rPr>
              <w:t>项目</w:t>
            </w:r>
            <w:r>
              <w:rPr>
                <w:rFonts w:hint="eastAsia" w:ascii="Times New Roman" w:hAnsi="Times New Roman"/>
                <w:kern w:val="0"/>
              </w:rPr>
              <w:t>需求</w:t>
            </w:r>
            <w:r>
              <w:rPr>
                <w:rFonts w:hint="eastAsia" w:ascii="Times New Roman" w:hAnsi="Times New Roman"/>
                <w:bCs/>
                <w:kern w:val="0"/>
              </w:rPr>
              <w:t>（实质性条款除外）</w:t>
            </w:r>
            <w:r>
              <w:rPr>
                <w:rFonts w:hint="eastAsia" w:ascii="Times New Roman" w:hAnsi="Times New Roman"/>
                <w:kern w:val="0"/>
              </w:rPr>
              <w:t>的全部内容</w:t>
            </w:r>
          </w:p>
        </w:tc>
        <w:tc>
          <w:tcPr>
            <w:tcW w:w="2893" w:type="pct"/>
            <w:vAlign w:val="center"/>
          </w:tcPr>
          <w:p w14:paraId="07D5798B">
            <w:pPr>
              <w:widowControl/>
              <w:shd w:val="clear" w:color="auto" w:fill="FFFFFF"/>
              <w:tabs>
                <w:tab w:val="left" w:pos="426"/>
              </w:tabs>
              <w:adjustRightInd w:val="0"/>
              <w:snapToGrid w:val="0"/>
              <w:jc w:val="center"/>
              <w:rPr>
                <w:rFonts w:ascii="Times New Roman" w:hAnsi="Times New Roman"/>
                <w:kern w:val="0"/>
              </w:rPr>
            </w:pPr>
          </w:p>
        </w:tc>
      </w:tr>
      <w:tr w14:paraId="1DF4F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5" w:type="pct"/>
            <w:vAlign w:val="center"/>
          </w:tcPr>
          <w:p w14:paraId="3D30D319">
            <w:pPr>
              <w:widowControl/>
              <w:shd w:val="clear" w:color="auto" w:fill="FFFFFF"/>
              <w:tabs>
                <w:tab w:val="left" w:pos="426"/>
              </w:tabs>
              <w:adjustRightInd w:val="0"/>
              <w:snapToGrid w:val="0"/>
              <w:jc w:val="center"/>
              <w:rPr>
                <w:rFonts w:ascii="Times New Roman" w:hAnsi="Times New Roman"/>
                <w:kern w:val="0"/>
                <w:szCs w:val="21"/>
              </w:rPr>
            </w:pPr>
            <w:r>
              <w:rPr>
                <w:rFonts w:ascii="Times New Roman" w:hAnsi="Times New Roman"/>
                <w:kern w:val="0"/>
                <w:szCs w:val="21"/>
              </w:rPr>
              <w:t>2</w:t>
            </w:r>
          </w:p>
        </w:tc>
        <w:tc>
          <w:tcPr>
            <w:tcW w:w="1672" w:type="pct"/>
            <w:vAlign w:val="center"/>
          </w:tcPr>
          <w:p w14:paraId="04156947">
            <w:pPr>
              <w:widowControl/>
              <w:shd w:val="clear" w:color="auto" w:fill="FFFFFF"/>
              <w:tabs>
                <w:tab w:val="left" w:pos="426"/>
              </w:tabs>
              <w:adjustRightInd w:val="0"/>
              <w:snapToGrid w:val="0"/>
              <w:jc w:val="center"/>
              <w:rPr>
                <w:rFonts w:ascii="Times New Roman" w:hAnsi="Times New Roman"/>
                <w:kern w:val="0"/>
              </w:rPr>
            </w:pPr>
          </w:p>
        </w:tc>
        <w:tc>
          <w:tcPr>
            <w:tcW w:w="2893" w:type="pct"/>
            <w:vAlign w:val="center"/>
          </w:tcPr>
          <w:p w14:paraId="50017C74">
            <w:pPr>
              <w:widowControl/>
              <w:shd w:val="clear" w:color="auto" w:fill="FFFFFF"/>
              <w:tabs>
                <w:tab w:val="left" w:pos="426"/>
              </w:tabs>
              <w:adjustRightInd w:val="0"/>
              <w:snapToGrid w:val="0"/>
              <w:jc w:val="center"/>
              <w:rPr>
                <w:rFonts w:ascii="Times New Roman" w:hAnsi="Times New Roman"/>
                <w:kern w:val="0"/>
              </w:rPr>
            </w:pPr>
          </w:p>
        </w:tc>
      </w:tr>
      <w:tr w14:paraId="4B557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435" w:type="pct"/>
            <w:vAlign w:val="center"/>
          </w:tcPr>
          <w:p w14:paraId="2E7BE33C">
            <w:pPr>
              <w:widowControl/>
              <w:shd w:val="clear" w:color="auto" w:fill="FFFFFF"/>
              <w:tabs>
                <w:tab w:val="left" w:pos="426"/>
              </w:tabs>
              <w:adjustRightInd w:val="0"/>
              <w:snapToGrid w:val="0"/>
              <w:jc w:val="center"/>
              <w:rPr>
                <w:rFonts w:ascii="Times New Roman" w:hAnsi="Times New Roman"/>
                <w:kern w:val="0"/>
                <w:szCs w:val="21"/>
              </w:rPr>
            </w:pPr>
            <w:r>
              <w:rPr>
                <w:rFonts w:ascii="Times New Roman" w:hAnsi="Times New Roman"/>
                <w:kern w:val="0"/>
                <w:szCs w:val="21"/>
              </w:rPr>
              <w:t>……</w:t>
            </w:r>
          </w:p>
        </w:tc>
        <w:tc>
          <w:tcPr>
            <w:tcW w:w="1672" w:type="pct"/>
            <w:vAlign w:val="center"/>
          </w:tcPr>
          <w:p w14:paraId="6DC61BB8">
            <w:pPr>
              <w:widowControl/>
              <w:shd w:val="clear" w:color="auto" w:fill="FFFFFF"/>
              <w:tabs>
                <w:tab w:val="left" w:pos="426"/>
              </w:tabs>
              <w:adjustRightInd w:val="0"/>
              <w:snapToGrid w:val="0"/>
              <w:jc w:val="center"/>
              <w:rPr>
                <w:rFonts w:ascii="Times New Roman" w:hAnsi="Times New Roman"/>
                <w:kern w:val="0"/>
              </w:rPr>
            </w:pPr>
          </w:p>
        </w:tc>
        <w:tc>
          <w:tcPr>
            <w:tcW w:w="2893" w:type="pct"/>
            <w:vAlign w:val="center"/>
          </w:tcPr>
          <w:p w14:paraId="15B25050">
            <w:pPr>
              <w:widowControl/>
              <w:shd w:val="clear" w:color="auto" w:fill="FFFFFF"/>
              <w:tabs>
                <w:tab w:val="left" w:pos="426"/>
              </w:tabs>
              <w:adjustRightInd w:val="0"/>
              <w:snapToGrid w:val="0"/>
              <w:jc w:val="center"/>
              <w:rPr>
                <w:rFonts w:ascii="Times New Roman" w:hAnsi="Times New Roman"/>
                <w:kern w:val="0"/>
              </w:rPr>
            </w:pPr>
          </w:p>
        </w:tc>
      </w:tr>
    </w:tbl>
    <w:p w14:paraId="5C6A1A06">
      <w:pPr>
        <w:widowControl/>
        <w:shd w:val="clear" w:color="auto" w:fill="FFFFFF"/>
        <w:adjustRightInd w:val="0"/>
        <w:snapToGrid w:val="0"/>
        <w:spacing w:line="360" w:lineRule="auto"/>
        <w:ind w:firstLine="424" w:firstLineChars="202"/>
        <w:rPr>
          <w:rFonts w:ascii="Times New Roman" w:hAnsi="Times New Roman"/>
          <w:bCs/>
          <w:kern w:val="0"/>
        </w:rPr>
      </w:pPr>
    </w:p>
    <w:p w14:paraId="0FA4BDFF">
      <w:pPr>
        <w:widowControl/>
        <w:shd w:val="clear" w:color="auto" w:fill="FFFFFF"/>
        <w:adjustRightInd w:val="0"/>
        <w:snapToGrid w:val="0"/>
        <w:spacing w:line="360" w:lineRule="auto"/>
        <w:rPr>
          <w:rFonts w:ascii="Times New Roman" w:hAnsi="Times New Roman"/>
          <w:bCs/>
          <w:kern w:val="0"/>
        </w:rPr>
      </w:pPr>
      <w:r>
        <w:rPr>
          <w:rFonts w:hint="eastAsia" w:ascii="Times New Roman" w:hAnsi="Times New Roman"/>
          <w:bCs/>
          <w:kern w:val="0"/>
        </w:rPr>
        <w:t>填写说明：</w:t>
      </w:r>
    </w:p>
    <w:p w14:paraId="70B10060">
      <w:pPr>
        <w:widowControl/>
        <w:shd w:val="clear" w:color="auto" w:fill="FFFFFF"/>
        <w:adjustRightInd w:val="0"/>
        <w:snapToGrid w:val="0"/>
        <w:spacing w:line="360" w:lineRule="auto"/>
        <w:ind w:firstLine="424" w:firstLineChars="202"/>
        <w:rPr>
          <w:rFonts w:ascii="Times New Roman" w:hAnsi="Times New Roman"/>
          <w:bCs/>
          <w:kern w:val="0"/>
        </w:rPr>
      </w:pPr>
      <w:r>
        <w:rPr>
          <w:rFonts w:ascii="Times New Roman" w:hAnsi="Times New Roman"/>
          <w:bCs/>
          <w:kern w:val="0"/>
        </w:rPr>
        <w:t>1.</w:t>
      </w:r>
      <w:r>
        <w:rPr>
          <w:rFonts w:hint="eastAsia" w:ascii="Times New Roman" w:hAnsi="Times New Roman"/>
          <w:bCs/>
          <w:kern w:val="0"/>
        </w:rPr>
        <w:t>上表所列内容若出现负偏离，不会导致磋商无效。</w:t>
      </w:r>
    </w:p>
    <w:p w14:paraId="3EF57E75">
      <w:pPr>
        <w:widowControl/>
        <w:shd w:val="clear" w:color="auto" w:fill="FFFFFF"/>
        <w:adjustRightInd w:val="0"/>
        <w:snapToGrid w:val="0"/>
        <w:spacing w:line="360" w:lineRule="auto"/>
        <w:ind w:firstLine="424" w:firstLineChars="202"/>
        <w:rPr>
          <w:rFonts w:ascii="Times New Roman" w:hAnsi="Times New Roman"/>
          <w:bCs/>
          <w:kern w:val="0"/>
        </w:rPr>
      </w:pPr>
      <w:r>
        <w:rPr>
          <w:rFonts w:ascii="Times New Roman" w:hAnsi="Times New Roman"/>
          <w:bCs/>
          <w:kern w:val="0"/>
        </w:rPr>
        <w:t>2.“</w:t>
      </w:r>
      <w:r>
        <w:rPr>
          <w:rFonts w:hint="eastAsia" w:ascii="Times New Roman" w:hAnsi="Times New Roman"/>
          <w:bCs/>
          <w:kern w:val="0"/>
        </w:rPr>
        <w:t>响应文件响应情况</w:t>
      </w:r>
      <w:r>
        <w:rPr>
          <w:rFonts w:ascii="Times New Roman" w:hAnsi="Times New Roman"/>
          <w:bCs/>
          <w:kern w:val="0"/>
        </w:rPr>
        <w:t>”</w:t>
      </w:r>
      <w:r>
        <w:rPr>
          <w:rFonts w:hint="eastAsia" w:ascii="Times New Roman" w:hAnsi="Times New Roman"/>
          <w:bCs/>
          <w:kern w:val="0"/>
        </w:rPr>
        <w:t>一栏应如实填写</w:t>
      </w:r>
      <w:r>
        <w:rPr>
          <w:rFonts w:ascii="Times New Roman" w:hAnsi="Times New Roman"/>
          <w:bCs/>
          <w:kern w:val="0"/>
        </w:rPr>
        <w:t>“</w:t>
      </w:r>
      <w:r>
        <w:rPr>
          <w:rFonts w:hint="eastAsia" w:ascii="Times New Roman" w:hAnsi="Times New Roman"/>
          <w:bCs/>
          <w:kern w:val="0"/>
        </w:rPr>
        <w:t>符合</w:t>
      </w:r>
      <w:r>
        <w:rPr>
          <w:rFonts w:ascii="Times New Roman" w:hAnsi="Times New Roman"/>
          <w:bCs/>
          <w:kern w:val="0"/>
        </w:rPr>
        <w:t>”</w:t>
      </w:r>
      <w:r>
        <w:rPr>
          <w:rFonts w:hint="eastAsia" w:ascii="Times New Roman" w:hAnsi="Times New Roman"/>
          <w:bCs/>
          <w:kern w:val="0"/>
        </w:rPr>
        <w:t>或</w:t>
      </w:r>
      <w:r>
        <w:rPr>
          <w:rFonts w:ascii="Times New Roman" w:hAnsi="Times New Roman"/>
          <w:bCs/>
          <w:kern w:val="0"/>
        </w:rPr>
        <w:t>“</w:t>
      </w:r>
      <w:r>
        <w:rPr>
          <w:rFonts w:hint="eastAsia" w:ascii="Times New Roman" w:hAnsi="Times New Roman"/>
          <w:bCs/>
          <w:kern w:val="0"/>
        </w:rPr>
        <w:t>正偏离</w:t>
      </w:r>
      <w:r>
        <w:rPr>
          <w:rFonts w:ascii="Times New Roman" w:hAnsi="Times New Roman"/>
          <w:bCs/>
          <w:kern w:val="0"/>
        </w:rPr>
        <w:t>”</w:t>
      </w:r>
      <w:r>
        <w:rPr>
          <w:rFonts w:hint="eastAsia" w:ascii="Times New Roman" w:hAnsi="Times New Roman"/>
          <w:bCs/>
          <w:kern w:val="0"/>
        </w:rPr>
        <w:t>或</w:t>
      </w:r>
      <w:r>
        <w:rPr>
          <w:rFonts w:ascii="Times New Roman" w:hAnsi="Times New Roman"/>
          <w:bCs/>
          <w:kern w:val="0"/>
        </w:rPr>
        <w:t>“</w:t>
      </w:r>
      <w:r>
        <w:rPr>
          <w:rFonts w:hint="eastAsia" w:ascii="Times New Roman" w:hAnsi="Times New Roman"/>
          <w:bCs/>
          <w:kern w:val="0"/>
        </w:rPr>
        <w:t>负偏离</w:t>
      </w:r>
      <w:r>
        <w:rPr>
          <w:rFonts w:ascii="Times New Roman" w:hAnsi="Times New Roman"/>
          <w:bCs/>
          <w:kern w:val="0"/>
        </w:rPr>
        <w:t>”</w:t>
      </w:r>
      <w:r>
        <w:rPr>
          <w:rFonts w:hint="eastAsia" w:ascii="Times New Roman" w:hAnsi="Times New Roman"/>
          <w:bCs/>
          <w:kern w:val="0"/>
        </w:rPr>
        <w:t>。</w:t>
      </w:r>
    </w:p>
    <w:p w14:paraId="75EC23AD">
      <w:pPr>
        <w:widowControl/>
        <w:shd w:val="clear" w:color="auto" w:fill="FFFFFF"/>
        <w:adjustRightInd w:val="0"/>
        <w:snapToGrid w:val="0"/>
        <w:spacing w:line="360" w:lineRule="auto"/>
        <w:ind w:firstLine="424" w:firstLineChars="202"/>
        <w:rPr>
          <w:rFonts w:ascii="Times New Roman" w:hAnsi="Times New Roman"/>
          <w:bCs/>
          <w:kern w:val="0"/>
        </w:rPr>
      </w:pPr>
      <w:r>
        <w:rPr>
          <w:rFonts w:hint="eastAsia" w:ascii="Times New Roman" w:hAnsi="Times New Roman"/>
          <w:bCs/>
          <w:kern w:val="0"/>
        </w:rPr>
        <w:t>（</w:t>
      </w:r>
      <w:r>
        <w:rPr>
          <w:rFonts w:ascii="Times New Roman" w:hAnsi="Times New Roman"/>
          <w:bCs/>
          <w:kern w:val="0"/>
        </w:rPr>
        <w:t>1</w:t>
      </w:r>
      <w:r>
        <w:rPr>
          <w:rFonts w:hint="eastAsia" w:ascii="Times New Roman" w:hAnsi="Times New Roman"/>
          <w:bCs/>
          <w:kern w:val="0"/>
        </w:rPr>
        <w:t>）</w:t>
      </w:r>
      <w:r>
        <w:rPr>
          <w:rFonts w:ascii="Times New Roman" w:hAnsi="Times New Roman"/>
          <w:bCs/>
          <w:kern w:val="0"/>
        </w:rPr>
        <w:t>“</w:t>
      </w:r>
      <w:r>
        <w:rPr>
          <w:rFonts w:hint="eastAsia" w:ascii="Times New Roman" w:hAnsi="Times New Roman"/>
          <w:bCs/>
          <w:kern w:val="0"/>
        </w:rPr>
        <w:t>符合</w:t>
      </w:r>
      <w:r>
        <w:rPr>
          <w:rFonts w:ascii="Times New Roman" w:hAnsi="Times New Roman"/>
          <w:bCs/>
          <w:kern w:val="0"/>
        </w:rPr>
        <w:t>”</w:t>
      </w:r>
      <w:r>
        <w:rPr>
          <w:rFonts w:hint="eastAsia" w:ascii="Times New Roman" w:hAnsi="Times New Roman"/>
          <w:bCs/>
          <w:kern w:val="0"/>
        </w:rPr>
        <w:t>：响应文件响应情况符合竞争性磋商文件要求。</w:t>
      </w:r>
    </w:p>
    <w:p w14:paraId="449F0DB9">
      <w:pPr>
        <w:widowControl/>
        <w:shd w:val="clear" w:color="auto" w:fill="FFFFFF"/>
        <w:adjustRightInd w:val="0"/>
        <w:snapToGrid w:val="0"/>
        <w:spacing w:line="360" w:lineRule="auto"/>
        <w:ind w:firstLine="424" w:firstLineChars="202"/>
        <w:rPr>
          <w:rFonts w:ascii="Times New Roman" w:hAnsi="Times New Roman"/>
          <w:bCs/>
          <w:kern w:val="0"/>
        </w:rPr>
      </w:pPr>
      <w:r>
        <w:rPr>
          <w:rFonts w:hint="eastAsia" w:ascii="Times New Roman" w:hAnsi="Times New Roman"/>
          <w:bCs/>
          <w:kern w:val="0"/>
        </w:rPr>
        <w:t>（</w:t>
      </w:r>
      <w:r>
        <w:rPr>
          <w:rFonts w:ascii="Times New Roman" w:hAnsi="Times New Roman"/>
          <w:bCs/>
          <w:kern w:val="0"/>
        </w:rPr>
        <w:t>2</w:t>
      </w:r>
      <w:r>
        <w:rPr>
          <w:rFonts w:hint="eastAsia" w:ascii="Times New Roman" w:hAnsi="Times New Roman"/>
          <w:bCs/>
          <w:kern w:val="0"/>
        </w:rPr>
        <w:t>）</w:t>
      </w:r>
      <w:r>
        <w:rPr>
          <w:rFonts w:ascii="Times New Roman" w:hAnsi="Times New Roman"/>
          <w:bCs/>
          <w:kern w:val="0"/>
        </w:rPr>
        <w:t>“</w:t>
      </w:r>
      <w:r>
        <w:rPr>
          <w:rFonts w:hint="eastAsia" w:ascii="Times New Roman" w:hAnsi="Times New Roman"/>
          <w:bCs/>
          <w:kern w:val="0"/>
        </w:rPr>
        <w:t>正偏离</w:t>
      </w:r>
      <w:r>
        <w:rPr>
          <w:rFonts w:ascii="Times New Roman" w:hAnsi="Times New Roman"/>
          <w:bCs/>
          <w:kern w:val="0"/>
        </w:rPr>
        <w:t>”</w:t>
      </w:r>
      <w:r>
        <w:rPr>
          <w:rFonts w:hint="eastAsia" w:ascii="Times New Roman" w:hAnsi="Times New Roman"/>
          <w:bCs/>
          <w:kern w:val="0"/>
        </w:rPr>
        <w:t>：响应文件响应情况优于竞争性磋商文件要求，应作详细说明。</w:t>
      </w:r>
    </w:p>
    <w:p w14:paraId="14372279">
      <w:pPr>
        <w:widowControl/>
        <w:shd w:val="clear" w:color="auto" w:fill="FFFFFF"/>
        <w:adjustRightInd w:val="0"/>
        <w:snapToGrid w:val="0"/>
        <w:spacing w:line="360" w:lineRule="auto"/>
        <w:ind w:firstLine="424" w:firstLineChars="202"/>
        <w:rPr>
          <w:rFonts w:ascii="Times New Roman" w:hAnsi="Times New Roman"/>
          <w:bCs/>
          <w:kern w:val="0"/>
        </w:rPr>
      </w:pPr>
      <w:r>
        <w:rPr>
          <w:rFonts w:hint="eastAsia" w:ascii="Times New Roman" w:hAnsi="Times New Roman"/>
          <w:bCs/>
          <w:kern w:val="0"/>
        </w:rPr>
        <w:t>（</w:t>
      </w:r>
      <w:r>
        <w:rPr>
          <w:rFonts w:ascii="Times New Roman" w:hAnsi="Times New Roman"/>
          <w:bCs/>
          <w:kern w:val="0"/>
        </w:rPr>
        <w:t>3</w:t>
      </w:r>
      <w:r>
        <w:rPr>
          <w:rFonts w:hint="eastAsia" w:ascii="Times New Roman" w:hAnsi="Times New Roman"/>
          <w:bCs/>
          <w:kern w:val="0"/>
        </w:rPr>
        <w:t>）</w:t>
      </w:r>
      <w:r>
        <w:rPr>
          <w:rFonts w:ascii="Times New Roman" w:hAnsi="Times New Roman"/>
          <w:bCs/>
          <w:kern w:val="0"/>
        </w:rPr>
        <w:t>“</w:t>
      </w:r>
      <w:r>
        <w:rPr>
          <w:rFonts w:hint="eastAsia" w:ascii="Times New Roman" w:hAnsi="Times New Roman"/>
          <w:bCs/>
          <w:kern w:val="0"/>
        </w:rPr>
        <w:t>负偏离</w:t>
      </w:r>
      <w:r>
        <w:rPr>
          <w:rFonts w:ascii="Times New Roman" w:hAnsi="Times New Roman"/>
          <w:bCs/>
          <w:kern w:val="0"/>
        </w:rPr>
        <w:t>”</w:t>
      </w:r>
      <w:r>
        <w:rPr>
          <w:rFonts w:hint="eastAsia" w:ascii="Times New Roman" w:hAnsi="Times New Roman"/>
          <w:bCs/>
          <w:kern w:val="0"/>
        </w:rPr>
        <w:t>：响应文件响应情况没有达到竞争性磋商文件要求，应作详细说明。</w:t>
      </w:r>
    </w:p>
    <w:p w14:paraId="7FEB9B18">
      <w:pPr>
        <w:widowControl/>
        <w:shd w:val="clear" w:color="auto" w:fill="FFFFFF"/>
        <w:adjustRightInd w:val="0"/>
        <w:snapToGrid w:val="0"/>
        <w:spacing w:line="360" w:lineRule="auto"/>
        <w:ind w:firstLine="424" w:firstLineChars="202"/>
        <w:rPr>
          <w:rFonts w:ascii="Times New Roman" w:hAnsi="Times New Roman"/>
          <w:bCs/>
          <w:kern w:val="0"/>
        </w:rPr>
      </w:pPr>
      <w:r>
        <w:rPr>
          <w:rFonts w:hint="eastAsia" w:ascii="Times New Roman" w:hAnsi="Times New Roman"/>
          <w:bCs/>
          <w:kern w:val="0"/>
        </w:rPr>
        <w:t>（</w:t>
      </w:r>
      <w:r>
        <w:rPr>
          <w:rFonts w:ascii="Times New Roman" w:hAnsi="Times New Roman"/>
          <w:bCs/>
          <w:kern w:val="0"/>
        </w:rPr>
        <w:t>4</w:t>
      </w:r>
      <w:r>
        <w:rPr>
          <w:rFonts w:hint="eastAsia" w:ascii="Times New Roman" w:hAnsi="Times New Roman"/>
          <w:bCs/>
          <w:kern w:val="0"/>
        </w:rPr>
        <w:t>）若竞争性磋商文件要求提供证明材料的，须按要求提供相关证明文件，否则视为负偏离。</w:t>
      </w:r>
    </w:p>
    <w:p w14:paraId="632BA4CC">
      <w:pPr>
        <w:widowControl/>
        <w:shd w:val="clear" w:color="auto" w:fill="FFFFFF"/>
        <w:adjustRightInd w:val="0"/>
        <w:snapToGrid w:val="0"/>
        <w:spacing w:line="360" w:lineRule="auto"/>
        <w:ind w:firstLine="424" w:firstLineChars="202"/>
        <w:rPr>
          <w:rFonts w:ascii="Times New Roman" w:hAnsi="Times New Roman"/>
          <w:bCs/>
          <w:kern w:val="0"/>
        </w:rPr>
      </w:pPr>
      <w:r>
        <w:rPr>
          <w:rFonts w:ascii="Times New Roman" w:hAnsi="Times New Roman"/>
          <w:bCs/>
          <w:kern w:val="0"/>
        </w:rPr>
        <w:t>3.</w:t>
      </w:r>
      <w:r>
        <w:rPr>
          <w:rFonts w:hint="eastAsia" w:ascii="Times New Roman" w:hAnsi="Times New Roman"/>
          <w:bCs/>
          <w:kern w:val="0"/>
        </w:rPr>
        <w:t>上表与响应文件其它内容冲突的，以上表为准。</w:t>
      </w:r>
    </w:p>
    <w:p w14:paraId="15354AE5">
      <w:pPr>
        <w:widowControl/>
        <w:shd w:val="clear" w:color="auto" w:fill="FFFFFF"/>
        <w:adjustRightInd w:val="0"/>
        <w:snapToGrid w:val="0"/>
        <w:spacing w:line="360" w:lineRule="auto"/>
        <w:ind w:firstLine="424" w:firstLineChars="202"/>
        <w:rPr>
          <w:rFonts w:ascii="Times New Roman" w:hAnsi="Times New Roman"/>
          <w:bCs/>
          <w:kern w:val="0"/>
        </w:rPr>
      </w:pPr>
    </w:p>
    <w:p w14:paraId="538508CA">
      <w:pPr>
        <w:widowControl/>
        <w:shd w:val="clear" w:color="auto" w:fill="FFFFFF"/>
        <w:adjustRightInd w:val="0"/>
        <w:snapToGrid w:val="0"/>
        <w:spacing w:line="360" w:lineRule="auto"/>
        <w:ind w:firstLine="424" w:firstLineChars="202"/>
        <w:rPr>
          <w:rFonts w:ascii="Times New Roman" w:hAnsi="Times New Roman"/>
          <w:bCs/>
          <w:kern w:val="0"/>
        </w:rPr>
      </w:pPr>
    </w:p>
    <w:p w14:paraId="107A5A71">
      <w:pPr>
        <w:widowControl/>
        <w:shd w:val="clear" w:color="auto" w:fill="FFFFFF"/>
        <w:adjustRightInd w:val="0"/>
        <w:snapToGrid w:val="0"/>
        <w:spacing w:line="500" w:lineRule="exact"/>
        <w:rPr>
          <w:rFonts w:ascii="Times New Roman" w:hAnsi="Times New Roman"/>
          <w:kern w:val="0"/>
          <w:u w:val="single"/>
        </w:rPr>
      </w:pPr>
      <w:r>
        <w:rPr>
          <w:rFonts w:hint="eastAsia" w:ascii="Times New Roman" w:hAnsi="Times New Roman"/>
          <w:spacing w:val="4"/>
          <w:kern w:val="0"/>
        </w:rPr>
        <w:t>供应商名称（</w:t>
      </w:r>
      <w:r>
        <w:rPr>
          <w:rFonts w:hint="eastAsia" w:ascii="Times New Roman" w:hAnsi="Times New Roman"/>
          <w:kern w:val="0"/>
        </w:rPr>
        <w:t>单位盖</w:t>
      </w:r>
      <w:r>
        <w:rPr>
          <w:rFonts w:hint="eastAsia" w:ascii="Times New Roman" w:hAnsi="Times New Roman"/>
          <w:spacing w:val="4"/>
          <w:kern w:val="0"/>
        </w:rPr>
        <w:t>公章）：</w:t>
      </w:r>
      <w:r>
        <w:rPr>
          <w:rFonts w:ascii="Times New Roman" w:hAnsi="Times New Roman"/>
          <w:spacing w:val="4"/>
          <w:kern w:val="0"/>
          <w:u w:val="single"/>
        </w:rPr>
        <w:t>__________________________________________________</w:t>
      </w:r>
    </w:p>
    <w:p w14:paraId="6C4351ED">
      <w:pPr>
        <w:widowControl/>
        <w:shd w:val="clear" w:color="auto" w:fill="FFFFFF"/>
        <w:adjustRightInd w:val="0"/>
        <w:snapToGrid w:val="0"/>
        <w:spacing w:line="520" w:lineRule="exact"/>
        <w:rPr>
          <w:rFonts w:ascii="Times New Roman" w:hAnsi="Times New Roman"/>
          <w:spacing w:val="4"/>
          <w:kern w:val="0"/>
        </w:rPr>
      </w:pPr>
      <w:r>
        <w:rPr>
          <w:rFonts w:hint="eastAsia" w:ascii="Times New Roman" w:hAnsi="Times New Roman"/>
          <w:kern w:val="0"/>
        </w:rPr>
        <w:t>法定代表人或供应商授权代表（签名或盖章）：</w:t>
      </w:r>
      <w:r>
        <w:rPr>
          <w:rFonts w:ascii="Times New Roman" w:hAnsi="Times New Roman"/>
          <w:spacing w:val="4"/>
          <w:kern w:val="0"/>
          <w:u w:val="single"/>
        </w:rPr>
        <w:t>____________</w:t>
      </w:r>
      <w:r>
        <w:rPr>
          <w:rFonts w:ascii="Times New Roman" w:hAnsi="Times New Roman"/>
          <w:spacing w:val="4"/>
          <w:kern w:val="0"/>
        </w:rPr>
        <w:t xml:space="preserve"> </w:t>
      </w:r>
      <w:r>
        <w:rPr>
          <w:rFonts w:hint="eastAsia" w:ascii="Times New Roman" w:hAnsi="Times New Roman"/>
          <w:spacing w:val="4"/>
          <w:kern w:val="0"/>
        </w:rPr>
        <w:t>职务：</w:t>
      </w:r>
      <w:r>
        <w:rPr>
          <w:rFonts w:ascii="Times New Roman" w:hAnsi="Times New Roman"/>
          <w:spacing w:val="4"/>
          <w:kern w:val="0"/>
          <w:u w:val="single"/>
        </w:rPr>
        <w:t>______</w:t>
      </w:r>
      <w:r>
        <w:rPr>
          <w:rFonts w:ascii="Times New Roman" w:hAnsi="Times New Roman"/>
          <w:spacing w:val="4"/>
          <w:kern w:val="0"/>
        </w:rPr>
        <w:t xml:space="preserve"> </w:t>
      </w:r>
      <w:r>
        <w:rPr>
          <w:rFonts w:hint="eastAsia" w:ascii="Times New Roman" w:hAnsi="Times New Roman"/>
          <w:spacing w:val="4"/>
          <w:kern w:val="0"/>
        </w:rPr>
        <w:t>日期</w:t>
      </w:r>
      <w:r>
        <w:rPr>
          <w:rFonts w:ascii="Times New Roman" w:hAnsi="Times New Roman"/>
          <w:spacing w:val="4"/>
          <w:kern w:val="0"/>
          <w:u w:val="single"/>
        </w:rPr>
        <w:t>_______</w:t>
      </w:r>
    </w:p>
    <w:p w14:paraId="79B0F66B">
      <w:pPr>
        <w:widowControl/>
        <w:jc w:val="left"/>
        <w:rPr>
          <w:rFonts w:cs="Arial"/>
          <w:bCs/>
          <w:szCs w:val="21"/>
        </w:rPr>
      </w:pPr>
      <w:r>
        <w:br w:type="page"/>
      </w:r>
    </w:p>
    <w:p w14:paraId="3D9AC222">
      <w:pPr>
        <w:pStyle w:val="5"/>
        <w:numPr>
          <w:ilvl w:val="0"/>
          <w:numId w:val="0"/>
        </w:numPr>
      </w:pPr>
      <w:bookmarkStart w:id="279" w:name="_Toc151802162"/>
      <w:bookmarkStart w:id="280" w:name="_Toc27868"/>
      <w:r>
        <w:t>11.</w:t>
      </w:r>
      <w:bookmarkEnd w:id="279"/>
      <w:r>
        <w:rPr>
          <w:rFonts w:hint="eastAsia"/>
        </w:rPr>
        <w:t>项目总体概述及理解（格式自定）</w:t>
      </w:r>
      <w:bookmarkEnd w:id="280"/>
    </w:p>
    <w:p w14:paraId="28E71E4D">
      <w:pPr>
        <w:pStyle w:val="5"/>
        <w:numPr>
          <w:ilvl w:val="0"/>
          <w:numId w:val="0"/>
        </w:numPr>
      </w:pPr>
      <w:bookmarkStart w:id="281" w:name="_Toc32466"/>
      <w:r>
        <w:rPr>
          <w:rFonts w:hint="eastAsia"/>
        </w:rPr>
        <w:t>12.施工组织计划、施工技术、施工工艺及相关的合理化建议（格式自定）</w:t>
      </w:r>
      <w:bookmarkEnd w:id="281"/>
    </w:p>
    <w:p w14:paraId="61450FBA">
      <w:pPr>
        <w:pStyle w:val="5"/>
        <w:numPr>
          <w:ilvl w:val="0"/>
          <w:numId w:val="0"/>
        </w:numPr>
      </w:pPr>
      <w:bookmarkStart w:id="282" w:name="_Toc25107"/>
      <w:r>
        <w:rPr>
          <w:rFonts w:hint="eastAsia"/>
        </w:rPr>
        <w:t>13.项目实施关键施工技术（重点难点）分析及解决方案（格式自定）</w:t>
      </w:r>
      <w:bookmarkEnd w:id="282"/>
    </w:p>
    <w:p w14:paraId="076C7A5C">
      <w:pPr>
        <w:pStyle w:val="5"/>
        <w:numPr>
          <w:ilvl w:val="0"/>
          <w:numId w:val="0"/>
        </w:numPr>
      </w:pPr>
      <w:bookmarkStart w:id="283" w:name="_Toc22612"/>
      <w:r>
        <w:rPr>
          <w:rFonts w:hint="eastAsia"/>
        </w:rPr>
        <w:t>14.拟采用材料的节能环保情况、档次及质量可靠性（格式自定）</w:t>
      </w:r>
      <w:bookmarkEnd w:id="283"/>
    </w:p>
    <w:p w14:paraId="6C2039CE">
      <w:pPr>
        <w:pStyle w:val="5"/>
        <w:numPr>
          <w:ilvl w:val="0"/>
          <w:numId w:val="0"/>
        </w:numPr>
      </w:pPr>
      <w:bookmarkStart w:id="284" w:name="_Toc4918"/>
      <w:r>
        <w:rPr>
          <w:rFonts w:hint="eastAsia"/>
        </w:rPr>
        <w:t>15.施工质量（安全、环保、工期、售后服务）保障措施及相关的违约承诺（格式自定）</w:t>
      </w:r>
      <w:bookmarkEnd w:id="284"/>
    </w:p>
    <w:p w14:paraId="0454DBA3">
      <w:pPr>
        <w:pStyle w:val="5"/>
        <w:numPr>
          <w:ilvl w:val="0"/>
          <w:numId w:val="0"/>
        </w:numPr>
      </w:pPr>
      <w:bookmarkStart w:id="285" w:name="_Toc20624"/>
      <w:r>
        <w:rPr>
          <w:rFonts w:hint="eastAsia"/>
        </w:rPr>
        <w:t>16.供应商同类项目业绩情况（格式自定）</w:t>
      </w:r>
      <w:bookmarkEnd w:id="285"/>
    </w:p>
    <w:p w14:paraId="2EA6F58C">
      <w:pPr>
        <w:pStyle w:val="5"/>
        <w:numPr>
          <w:ilvl w:val="0"/>
          <w:numId w:val="0"/>
        </w:numPr>
      </w:pPr>
      <w:bookmarkStart w:id="286" w:name="_Toc14769"/>
      <w:r>
        <w:rPr>
          <w:rFonts w:hint="eastAsia"/>
        </w:rPr>
        <w:t>17.拟投入劳动力（项目经理、技术人员、管理班子、机械设备、场地）情况（格式自定）</w:t>
      </w:r>
      <w:bookmarkEnd w:id="286"/>
    </w:p>
    <w:p w14:paraId="5EAA1332"/>
    <w:p w14:paraId="21597034">
      <w:r>
        <w:rPr>
          <w:rFonts w:hint="eastAsia"/>
        </w:rPr>
        <w:t>以上响应文件编制节点，请依据《综合评审打分表》的要求提交相应资料，未提供相应格式的需自定）。</w:t>
      </w:r>
    </w:p>
    <w:p w14:paraId="3581927D">
      <w:pPr>
        <w:widowControl/>
        <w:jc w:val="left"/>
      </w:pPr>
      <w:r>
        <w:br w:type="page"/>
      </w:r>
    </w:p>
    <w:p w14:paraId="0F535C62">
      <w:pPr>
        <w:pStyle w:val="5"/>
        <w:numPr>
          <w:ilvl w:val="0"/>
          <w:numId w:val="0"/>
        </w:numPr>
        <w:rPr>
          <w:rFonts w:cs="Arial"/>
          <w:bCs w:val="0"/>
        </w:rPr>
      </w:pPr>
      <w:bookmarkStart w:id="287" w:name="_Toc6455"/>
      <w:bookmarkStart w:id="288" w:name="_Toc151802171"/>
      <w:r>
        <w:rPr>
          <w:rFonts w:cs="Arial"/>
          <w:bCs w:val="0"/>
        </w:rPr>
        <w:t>1</w:t>
      </w:r>
      <w:r>
        <w:rPr>
          <w:rFonts w:hint="eastAsia" w:cs="Arial"/>
          <w:bCs w:val="0"/>
        </w:rPr>
        <w:t>9</w:t>
      </w:r>
      <w:r>
        <w:rPr>
          <w:rFonts w:cs="Arial"/>
          <w:bCs w:val="0"/>
        </w:rPr>
        <w:t>.</w:t>
      </w:r>
      <w:r>
        <w:rPr>
          <w:rFonts w:hint="eastAsia" w:cs="Arial"/>
          <w:bCs w:val="0"/>
        </w:rPr>
        <w:t>代理服务费承诺书</w:t>
      </w:r>
      <w:bookmarkEnd w:id="287"/>
      <w:bookmarkEnd w:id="288"/>
    </w:p>
    <w:p w14:paraId="440D244E">
      <w:pPr>
        <w:spacing w:line="300" w:lineRule="auto"/>
        <w:jc w:val="center"/>
        <w:rPr>
          <w:rFonts w:ascii="宋体" w:hAnsi="Times New Roman"/>
          <w:bCs/>
          <w:sz w:val="32"/>
          <w:szCs w:val="32"/>
        </w:rPr>
      </w:pPr>
      <w:r>
        <w:rPr>
          <w:rFonts w:hint="eastAsia" w:ascii="宋体" w:hAnsi="Times New Roman"/>
          <w:bCs/>
          <w:sz w:val="32"/>
          <w:szCs w:val="32"/>
        </w:rPr>
        <w:t>代理服务费承诺书</w:t>
      </w:r>
    </w:p>
    <w:p w14:paraId="25A589A6">
      <w:pPr>
        <w:widowControl/>
        <w:shd w:val="clear" w:color="auto" w:fill="FFFFFF"/>
        <w:spacing w:line="360" w:lineRule="auto"/>
        <w:rPr>
          <w:rFonts w:ascii="宋体" w:hAnsi="Times New Roman" w:cs="宋体"/>
          <w:b/>
          <w:kern w:val="0"/>
        </w:rPr>
      </w:pPr>
    </w:p>
    <w:p w14:paraId="04B2AC01">
      <w:pPr>
        <w:widowControl/>
        <w:shd w:val="clear" w:color="auto" w:fill="FFFFFF"/>
        <w:spacing w:line="360" w:lineRule="auto"/>
        <w:rPr>
          <w:rFonts w:ascii="宋体" w:hAnsi="Times New Roman" w:cs="宋体"/>
          <w:b/>
          <w:kern w:val="0"/>
        </w:rPr>
      </w:pPr>
      <w:r>
        <w:rPr>
          <w:rFonts w:hint="eastAsia" w:ascii="宋体" w:hAnsi="Times New Roman" w:cs="宋体"/>
          <w:b/>
          <w:kern w:val="0"/>
        </w:rPr>
        <w:t>深圳市深水水务咨询有限公司：</w:t>
      </w:r>
    </w:p>
    <w:p w14:paraId="47EBC4D1">
      <w:pPr>
        <w:widowControl/>
        <w:shd w:val="clear" w:color="auto" w:fill="FFFFFF"/>
        <w:spacing w:line="360" w:lineRule="auto"/>
        <w:ind w:firstLine="420" w:firstLineChars="200"/>
        <w:rPr>
          <w:rFonts w:ascii="宋体" w:hAnsi="Times New Roman" w:cs="宋体"/>
          <w:kern w:val="0"/>
          <w:szCs w:val="21"/>
        </w:rPr>
      </w:pPr>
      <w:r>
        <w:rPr>
          <w:rFonts w:hint="eastAsia" w:ascii="宋体" w:hAnsi="Times New Roman" w:cs="宋体"/>
          <w:kern w:val="0"/>
        </w:rPr>
        <w:t>本公司</w:t>
      </w:r>
      <w:r>
        <w:rPr>
          <w:rFonts w:ascii="宋体" w:hAnsi="Times New Roman" w:cs="宋体"/>
          <w:kern w:val="0"/>
          <w:u w:val="single"/>
        </w:rPr>
        <w:t>(</w:t>
      </w:r>
      <w:r>
        <w:rPr>
          <w:rFonts w:hint="eastAsia" w:ascii="宋体" w:hAnsi="Times New Roman" w:cs="宋体"/>
          <w:kern w:val="0"/>
          <w:u w:val="single"/>
        </w:rPr>
        <w:t>供应商名称</w:t>
      </w:r>
      <w:r>
        <w:rPr>
          <w:rFonts w:ascii="宋体" w:hAnsi="Times New Roman" w:cs="宋体"/>
          <w:kern w:val="0"/>
          <w:u w:val="single"/>
        </w:rPr>
        <w:t>)</w:t>
      </w:r>
      <w:r>
        <w:rPr>
          <w:rFonts w:hint="eastAsia" w:ascii="宋体" w:hAnsi="Times New Roman" w:cs="宋体"/>
          <w:kern w:val="0"/>
        </w:rPr>
        <w:t>在参加</w:t>
      </w:r>
      <w:r>
        <w:rPr>
          <w:rFonts w:hint="eastAsia" w:ascii="宋体" w:hAnsi="Times New Roman" w:cs="宋体"/>
          <w:kern w:val="0"/>
          <w:u w:val="single"/>
        </w:rPr>
        <w:t>（项目名称）</w:t>
      </w:r>
      <w:r>
        <w:rPr>
          <w:rFonts w:ascii="宋体" w:hAnsi="Times New Roman" w:cs="宋体"/>
          <w:kern w:val="0"/>
        </w:rPr>
        <w:t>(</w:t>
      </w:r>
      <w:r>
        <w:rPr>
          <w:rFonts w:hint="eastAsia" w:ascii="宋体" w:hAnsi="Times New Roman" w:cs="宋体"/>
          <w:kern w:val="0"/>
        </w:rPr>
        <w:t>项目编号：</w:t>
      </w:r>
      <w:r>
        <w:rPr>
          <w:rFonts w:hint="eastAsia" w:ascii="宋体" w:hAnsi="Times New Roman" w:cs="宋体"/>
          <w:kern w:val="0"/>
          <w:u w:val="single"/>
        </w:rPr>
        <w:t>（项目编号）</w:t>
      </w:r>
      <w:r>
        <w:rPr>
          <w:rFonts w:ascii="宋体" w:hAnsi="Times New Roman" w:cs="宋体"/>
          <w:kern w:val="0"/>
        </w:rPr>
        <w:t>)</w:t>
      </w:r>
      <w:r>
        <w:rPr>
          <w:rFonts w:hint="eastAsia" w:ascii="宋体" w:hAnsi="Times New Roman" w:cs="宋体"/>
          <w:kern w:val="0"/>
        </w:rPr>
        <w:t>的采购中如获成交</w:t>
      </w:r>
      <w:r>
        <w:rPr>
          <w:rFonts w:hint="eastAsia" w:ascii="宋体" w:hAnsi="Times New Roman" w:cs="宋体"/>
          <w:kern w:val="0"/>
          <w:szCs w:val="21"/>
        </w:rPr>
        <w:t>，我公司保证按照竞争性磋商文件</w:t>
      </w:r>
      <w:r>
        <w:rPr>
          <w:rFonts w:hint="eastAsia" w:ascii="宋体" w:hAnsi="Times New Roman" w:cs="宋体"/>
          <w:kern w:val="0"/>
        </w:rPr>
        <w:t>的</w:t>
      </w:r>
      <w:r>
        <w:rPr>
          <w:rFonts w:hint="eastAsia" w:ascii="宋体" w:hAnsi="Times New Roman" w:cs="宋体"/>
          <w:kern w:val="0"/>
          <w:szCs w:val="21"/>
        </w:rPr>
        <w:t>规定缴纳“代理服务费”后，凭领取人身份证复印件并加盖公章领取《成交通知书》。如采用电汇或银行转账，我</w:t>
      </w:r>
      <w:r>
        <w:rPr>
          <w:rFonts w:hint="eastAsia" w:ascii="宋体" w:hAnsi="Times New Roman" w:cs="宋体"/>
          <w:kern w:val="0"/>
        </w:rPr>
        <w:t>公</w:t>
      </w:r>
      <w:r>
        <w:rPr>
          <w:rFonts w:hint="eastAsia" w:ascii="宋体" w:hAnsi="Times New Roman" w:cs="宋体"/>
          <w:kern w:val="0"/>
          <w:szCs w:val="21"/>
        </w:rPr>
        <w:t>司将同时递交代理服务费缴费凭证复印件并加盖公章。</w:t>
      </w:r>
    </w:p>
    <w:p w14:paraId="6A953653">
      <w:pPr>
        <w:widowControl/>
        <w:shd w:val="clear" w:color="auto" w:fill="FFFFFF"/>
        <w:spacing w:line="360" w:lineRule="auto"/>
        <w:ind w:firstLine="420" w:firstLineChars="200"/>
        <w:rPr>
          <w:rFonts w:ascii="宋体" w:hAnsi="Times New Roman" w:cs="宋体"/>
          <w:kern w:val="0"/>
        </w:rPr>
      </w:pPr>
      <w:r>
        <w:rPr>
          <w:rFonts w:hint="eastAsia" w:ascii="宋体" w:hAnsi="Times New Roman" w:cs="宋体"/>
          <w:kern w:val="0"/>
        </w:rPr>
        <w:t>如我公司违反上款承诺，愿凭贵公司开出的相关通知，同意（采购代理机构名称）办理支付手续，愿承担由此引起的一切法律责任。</w:t>
      </w:r>
    </w:p>
    <w:p w14:paraId="5BE378FA">
      <w:pPr>
        <w:widowControl/>
        <w:shd w:val="clear" w:color="auto" w:fill="FFFFFF"/>
        <w:spacing w:line="360" w:lineRule="auto"/>
        <w:ind w:firstLine="420" w:firstLineChars="200"/>
        <w:rPr>
          <w:rFonts w:ascii="宋体" w:hAnsi="Times New Roman" w:cs="宋体"/>
          <w:kern w:val="0"/>
        </w:rPr>
      </w:pPr>
      <w:r>
        <w:rPr>
          <w:rFonts w:hint="eastAsia" w:ascii="宋体" w:hAnsi="Times New Roman" w:cs="宋体"/>
          <w:kern w:val="0"/>
        </w:rPr>
        <w:t>特此承诺</w:t>
      </w:r>
      <w:r>
        <w:rPr>
          <w:rFonts w:ascii="宋体" w:hAnsi="Times New Roman" w:cs="宋体"/>
          <w:kern w:val="0"/>
        </w:rPr>
        <w:t>!</w:t>
      </w:r>
    </w:p>
    <w:p w14:paraId="78A68BFC">
      <w:pPr>
        <w:widowControl/>
        <w:shd w:val="clear" w:color="auto" w:fill="FFFFFF"/>
        <w:spacing w:line="360" w:lineRule="auto"/>
        <w:ind w:firstLine="420" w:firstLineChars="200"/>
        <w:rPr>
          <w:rFonts w:ascii="宋体" w:hAnsi="Times New Roman" w:cs="宋体"/>
          <w:kern w:val="0"/>
        </w:rPr>
      </w:pPr>
    </w:p>
    <w:p w14:paraId="7A011E6F">
      <w:pPr>
        <w:widowControl/>
        <w:shd w:val="clear" w:color="auto" w:fill="FFFFFF"/>
        <w:spacing w:line="360" w:lineRule="auto"/>
        <w:ind w:firstLine="420" w:firstLineChars="200"/>
        <w:rPr>
          <w:rFonts w:ascii="宋体" w:hAnsi="Times New Roman" w:cs="宋体"/>
          <w:kern w:val="0"/>
        </w:rPr>
      </w:pPr>
    </w:p>
    <w:p w14:paraId="06E17CBD">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单位名称：</w:t>
      </w:r>
      <w:r>
        <w:rPr>
          <w:rFonts w:ascii="宋体" w:hAnsi="Times New Roman" w:cs="宋体"/>
          <w:kern w:val="0"/>
          <w:u w:val="single"/>
        </w:rPr>
        <w:t>_____________________________________________________________</w:t>
      </w:r>
    </w:p>
    <w:p w14:paraId="76837E4E">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法定代表人或供应商授权代表（签名或盖章）：</w:t>
      </w:r>
      <w:r>
        <w:rPr>
          <w:rFonts w:ascii="宋体" w:hAnsi="Times New Roman" w:cs="宋体"/>
          <w:kern w:val="0"/>
          <w:u w:val="single"/>
        </w:rPr>
        <w:t>_________________________</w:t>
      </w:r>
    </w:p>
    <w:p w14:paraId="4C571C75">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单位地址：</w:t>
      </w:r>
      <w:r>
        <w:rPr>
          <w:rFonts w:ascii="宋体" w:hAnsi="Times New Roman" w:cs="宋体"/>
          <w:kern w:val="0"/>
          <w:u w:val="single"/>
        </w:rPr>
        <w:t>_____________________________________________________________</w:t>
      </w:r>
    </w:p>
    <w:p w14:paraId="62DF9823">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单位公章：</w:t>
      </w:r>
      <w:r>
        <w:rPr>
          <w:rFonts w:ascii="宋体" w:hAnsi="Times New Roman" w:cs="宋体"/>
          <w:kern w:val="0"/>
          <w:u w:val="single"/>
        </w:rPr>
        <w:t>_____________________________________________________________</w:t>
      </w:r>
    </w:p>
    <w:p w14:paraId="283F05B7">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邮政编码：</w:t>
      </w:r>
      <w:r>
        <w:rPr>
          <w:rFonts w:ascii="宋体" w:hAnsi="Times New Roman" w:cs="宋体"/>
          <w:kern w:val="0"/>
          <w:u w:val="single"/>
        </w:rPr>
        <w:t>_______________________</w:t>
      </w:r>
      <w:r>
        <w:rPr>
          <w:rFonts w:hint="eastAsia" w:ascii="宋体" w:hAnsi="Times New Roman" w:cs="宋体"/>
          <w:kern w:val="0"/>
        </w:rPr>
        <w:t>日期：</w:t>
      </w:r>
      <w:r>
        <w:rPr>
          <w:rFonts w:ascii="宋体" w:hAnsi="Times New Roman" w:cs="宋体"/>
          <w:kern w:val="0"/>
          <w:u w:val="single"/>
        </w:rPr>
        <w:t>________________________________</w:t>
      </w:r>
    </w:p>
    <w:p w14:paraId="1B6DECCA">
      <w:pPr>
        <w:widowControl/>
        <w:shd w:val="clear" w:color="auto" w:fill="FFFFFF"/>
        <w:adjustRightInd w:val="0"/>
        <w:snapToGrid w:val="0"/>
        <w:spacing w:line="360" w:lineRule="auto"/>
        <w:ind w:firstLine="420"/>
        <w:rPr>
          <w:rFonts w:ascii="宋体" w:hAnsi="Times New Roman" w:cs="宋体"/>
          <w:kern w:val="0"/>
          <w:u w:val="single"/>
        </w:rPr>
      </w:pPr>
      <w:r>
        <w:rPr>
          <w:rFonts w:hint="eastAsia" w:ascii="宋体" w:hAnsi="Times New Roman" w:cs="宋体"/>
          <w:kern w:val="0"/>
        </w:rPr>
        <w:t>联系电话：</w:t>
      </w:r>
      <w:r>
        <w:rPr>
          <w:rFonts w:ascii="宋体" w:hAnsi="Times New Roman" w:cs="宋体"/>
          <w:kern w:val="0"/>
          <w:u w:val="single"/>
        </w:rPr>
        <w:t>_____________________________________________________________</w:t>
      </w:r>
    </w:p>
    <w:p w14:paraId="10BB9534">
      <w:pPr>
        <w:widowControl/>
        <w:shd w:val="clear" w:color="auto" w:fill="FFFFFF"/>
        <w:adjustRightInd w:val="0"/>
        <w:snapToGrid w:val="0"/>
        <w:spacing w:line="360" w:lineRule="auto"/>
        <w:ind w:firstLine="420"/>
        <w:rPr>
          <w:rFonts w:ascii="宋体" w:hAnsi="Times New Roman" w:cs="宋体"/>
          <w:kern w:val="0"/>
          <w:u w:val="single"/>
        </w:rPr>
      </w:pPr>
    </w:p>
    <w:p w14:paraId="78FD9FF1">
      <w:pPr>
        <w:widowControl/>
        <w:shd w:val="clear" w:color="auto" w:fill="FFFFFF"/>
        <w:adjustRightInd w:val="0"/>
        <w:snapToGrid w:val="0"/>
        <w:spacing w:line="360" w:lineRule="auto"/>
        <w:ind w:firstLine="420"/>
        <w:rPr>
          <w:rFonts w:ascii="宋体" w:hAnsi="Times New Roman" w:cs="宋体"/>
          <w:spacing w:val="4"/>
          <w:kern w:val="0"/>
          <w:u w:val="single"/>
        </w:rPr>
      </w:pPr>
    </w:p>
    <w:p w14:paraId="16629FD1">
      <w:pPr>
        <w:widowControl/>
        <w:shd w:val="clear" w:color="auto" w:fill="FFFFFF"/>
        <w:adjustRightInd w:val="0"/>
        <w:snapToGrid w:val="0"/>
        <w:spacing w:line="360" w:lineRule="auto"/>
        <w:rPr>
          <w:rFonts w:ascii="宋体" w:hAnsi="Times New Roman" w:cs="宋体"/>
          <w:b/>
          <w:kern w:val="0"/>
          <w:szCs w:val="21"/>
        </w:rPr>
      </w:pPr>
      <w:r>
        <w:br w:type="page"/>
      </w:r>
    </w:p>
    <w:p w14:paraId="57B14A14">
      <w:pPr>
        <w:spacing w:line="300" w:lineRule="auto"/>
        <w:jc w:val="center"/>
        <w:rPr>
          <w:rFonts w:ascii="宋体" w:hAnsi="Times New Roman"/>
          <w:bCs/>
          <w:sz w:val="32"/>
          <w:szCs w:val="32"/>
        </w:rPr>
      </w:pPr>
    </w:p>
    <w:p w14:paraId="5899A62C">
      <w:pPr>
        <w:spacing w:line="300" w:lineRule="auto"/>
        <w:jc w:val="center"/>
        <w:rPr>
          <w:rFonts w:ascii="宋体" w:hAnsi="Times New Roman"/>
          <w:bCs/>
          <w:sz w:val="32"/>
          <w:szCs w:val="32"/>
        </w:rPr>
      </w:pPr>
      <w:r>
        <w:rPr>
          <w:rFonts w:hint="eastAsia" w:ascii="宋体" w:hAnsi="Times New Roman"/>
          <w:bCs/>
          <w:sz w:val="32"/>
          <w:szCs w:val="32"/>
        </w:rPr>
        <w:t>代理服务费发票开具须知</w:t>
      </w:r>
    </w:p>
    <w:tbl>
      <w:tblPr>
        <w:tblStyle w:val="5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7363"/>
      </w:tblGrid>
      <w:tr w14:paraId="17220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159" w:type="dxa"/>
            <w:vAlign w:val="center"/>
          </w:tcPr>
          <w:p w14:paraId="483CAF01">
            <w:pPr>
              <w:widowControl/>
              <w:shd w:val="clear" w:color="auto" w:fill="FFFFFF"/>
              <w:adjustRightInd w:val="0"/>
              <w:snapToGrid w:val="0"/>
              <w:spacing w:line="520" w:lineRule="exact"/>
              <w:rPr>
                <w:rFonts w:ascii="宋体" w:hAnsi="Times New Roman" w:cs="宋体"/>
                <w:b/>
                <w:kern w:val="0"/>
              </w:rPr>
            </w:pPr>
            <w:r>
              <w:rPr>
                <w:rFonts w:hint="eastAsia" w:ascii="宋体" w:hAnsi="Times New Roman" w:cs="宋体"/>
                <w:b/>
                <w:kern w:val="0"/>
              </w:rPr>
              <w:t>发票类型</w:t>
            </w:r>
          </w:p>
        </w:tc>
        <w:tc>
          <w:tcPr>
            <w:tcW w:w="7363" w:type="dxa"/>
            <w:vAlign w:val="center"/>
          </w:tcPr>
          <w:p w14:paraId="5987D4B3">
            <w:pPr>
              <w:widowControl/>
              <w:shd w:val="clear" w:color="auto" w:fill="FFFFFF"/>
              <w:adjustRightInd w:val="0"/>
              <w:snapToGrid w:val="0"/>
              <w:spacing w:line="520" w:lineRule="exact"/>
              <w:ind w:firstLine="420" w:firstLineChars="200"/>
              <w:rPr>
                <w:rFonts w:ascii="宋体" w:hAnsi="Times New Roman" w:cs="宋体"/>
                <w:kern w:val="0"/>
              </w:rPr>
            </w:pPr>
            <w:r>
              <w:rPr>
                <w:rFonts w:hint="eastAsia" w:ascii="宋体" w:hAnsi="Times New Roman" w:cs="宋体"/>
                <w:kern w:val="0"/>
              </w:rPr>
              <w:t>□增值税普通发票</w:t>
            </w:r>
            <w:r>
              <w:rPr>
                <w:rFonts w:ascii="宋体" w:hAnsi="Times New Roman" w:cs="宋体"/>
                <w:kern w:val="0"/>
              </w:rPr>
              <w:t xml:space="preserve">             </w:t>
            </w:r>
            <w:r>
              <w:rPr>
                <w:rFonts w:hint="eastAsia" w:ascii="宋体" w:hAnsi="Times New Roman" w:cs="宋体"/>
                <w:kern w:val="0"/>
              </w:rPr>
              <w:t>□增值税专用发票</w:t>
            </w:r>
          </w:p>
        </w:tc>
      </w:tr>
      <w:tr w14:paraId="4BF7F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jc w:val="center"/>
        </w:trPr>
        <w:tc>
          <w:tcPr>
            <w:tcW w:w="8522" w:type="dxa"/>
            <w:gridSpan w:val="2"/>
            <w:vAlign w:val="center"/>
          </w:tcPr>
          <w:p w14:paraId="3EAC0CC2">
            <w:pPr>
              <w:widowControl/>
              <w:shd w:val="clear" w:color="auto" w:fill="FFFFFF"/>
              <w:adjustRightInd w:val="0"/>
              <w:snapToGrid w:val="0"/>
              <w:spacing w:line="520" w:lineRule="exact"/>
              <w:rPr>
                <w:rFonts w:ascii="宋体" w:hAnsi="Times New Roman" w:cs="宋体"/>
                <w:kern w:val="0"/>
              </w:rPr>
            </w:pPr>
            <w:r>
              <w:rPr>
                <w:rFonts w:hint="eastAsia" w:ascii="宋体" w:hAnsi="Times New Roman" w:cs="宋体"/>
                <w:kern w:val="0"/>
              </w:rPr>
              <w:t>如选择增值税专用发票，需提供以下材料，磋商时密封于开标信封中：</w:t>
            </w:r>
          </w:p>
          <w:p w14:paraId="42EE80DD">
            <w:pPr>
              <w:widowControl/>
              <w:shd w:val="clear" w:color="auto" w:fill="FFFFFF"/>
              <w:adjustRightInd w:val="0"/>
              <w:snapToGrid w:val="0"/>
              <w:spacing w:line="520" w:lineRule="exact"/>
              <w:rPr>
                <w:rFonts w:ascii="宋体" w:hAnsi="Times New Roman" w:cs="宋体"/>
                <w:kern w:val="0"/>
              </w:rPr>
            </w:pPr>
            <w:r>
              <w:rPr>
                <w:rFonts w:ascii="宋体" w:hAnsi="Times New Roman" w:cs="宋体"/>
                <w:kern w:val="0"/>
              </w:rPr>
              <w:t>1.</w:t>
            </w:r>
            <w:r>
              <w:rPr>
                <w:rFonts w:hint="eastAsia" w:ascii="宋体" w:hAnsi="Times New Roman" w:cs="宋体"/>
                <w:kern w:val="0"/>
              </w:rPr>
              <w:t>营业执照、一般纳税人资格认定税务通知书或其他可证明具有该项资格证明文件的复印件，加盖单位公章；</w:t>
            </w:r>
            <w:r>
              <w:rPr>
                <w:rFonts w:ascii="宋体" w:hAnsi="Times New Roman" w:cs="宋体"/>
                <w:kern w:val="0"/>
              </w:rPr>
              <w:t xml:space="preserve"> </w:t>
            </w:r>
          </w:p>
          <w:p w14:paraId="709D95EA">
            <w:pPr>
              <w:widowControl/>
              <w:shd w:val="clear" w:color="auto" w:fill="FFFFFF"/>
              <w:adjustRightInd w:val="0"/>
              <w:snapToGrid w:val="0"/>
              <w:spacing w:line="520" w:lineRule="exact"/>
              <w:rPr>
                <w:rFonts w:ascii="宋体" w:hAnsi="Times New Roman" w:cs="宋体"/>
                <w:kern w:val="0"/>
              </w:rPr>
            </w:pPr>
            <w:r>
              <w:rPr>
                <w:rFonts w:ascii="宋体" w:hAnsi="Times New Roman" w:cs="宋体"/>
                <w:kern w:val="0"/>
              </w:rPr>
              <w:t>2.</w:t>
            </w:r>
            <w:r>
              <w:rPr>
                <w:rFonts w:hint="eastAsia" w:ascii="宋体" w:hAnsi="Times New Roman" w:cs="宋体"/>
                <w:kern w:val="0"/>
              </w:rPr>
              <w:t>客户的开票资料（单位名称、纳税人识别号、地址、电话、开户行全称及账号），加盖单位公章。</w:t>
            </w:r>
          </w:p>
        </w:tc>
      </w:tr>
    </w:tbl>
    <w:p w14:paraId="0745C9B7">
      <w:pPr>
        <w:widowControl/>
        <w:shd w:val="clear" w:color="auto" w:fill="FFFFFF"/>
        <w:adjustRightInd w:val="0"/>
        <w:snapToGrid w:val="0"/>
        <w:spacing w:line="360" w:lineRule="auto"/>
        <w:rPr>
          <w:rFonts w:ascii="宋体" w:hAnsi="Times New Roman" w:cs="宋体"/>
          <w:b/>
          <w:kern w:val="0"/>
          <w:szCs w:val="21"/>
        </w:rPr>
      </w:pPr>
    </w:p>
    <w:p w14:paraId="0CE30F5F">
      <w:pPr>
        <w:widowControl/>
        <w:shd w:val="clear" w:color="auto" w:fill="FFFFFF"/>
        <w:adjustRightInd w:val="0"/>
        <w:snapToGrid w:val="0"/>
        <w:spacing w:line="360" w:lineRule="auto"/>
        <w:rPr>
          <w:rFonts w:ascii="宋体" w:hAnsi="Times New Roman" w:cs="宋体"/>
          <w:b/>
          <w:kern w:val="0"/>
          <w:szCs w:val="21"/>
        </w:rPr>
      </w:pPr>
    </w:p>
    <w:p w14:paraId="6F393C78">
      <w:pPr>
        <w:widowControl/>
        <w:shd w:val="clear" w:color="auto" w:fill="FFFFFF"/>
        <w:adjustRightInd w:val="0"/>
        <w:snapToGrid w:val="0"/>
        <w:spacing w:line="360" w:lineRule="auto"/>
        <w:jc w:val="center"/>
        <w:rPr>
          <w:rFonts w:ascii="宋体" w:hAnsi="Times New Roman" w:cs="宋体"/>
          <w:b/>
          <w:kern w:val="0"/>
          <w:szCs w:val="21"/>
        </w:rPr>
      </w:pPr>
      <w:r>
        <w:rPr>
          <w:rFonts w:hint="eastAsia" w:ascii="宋体" w:hAnsi="Times New Roman" w:cs="宋体"/>
          <w:b/>
          <w:kern w:val="0"/>
          <w:szCs w:val="21"/>
        </w:rPr>
        <w:t>附：缴纳代理服务费账号：</w:t>
      </w:r>
    </w:p>
    <w:tbl>
      <w:tblPr>
        <w:tblStyle w:val="50"/>
        <w:tblW w:w="85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943"/>
        <w:gridCol w:w="5579"/>
      </w:tblGrid>
      <w:tr w14:paraId="1C6F17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2943" w:type="dxa"/>
            <w:vAlign w:val="center"/>
          </w:tcPr>
          <w:p w14:paraId="5B2241BC">
            <w:pPr>
              <w:widowControl/>
              <w:shd w:val="clear" w:color="auto" w:fill="FFFFFF"/>
              <w:adjustRightInd w:val="0"/>
              <w:snapToGrid w:val="0"/>
              <w:spacing w:line="360" w:lineRule="auto"/>
              <w:jc w:val="center"/>
              <w:rPr>
                <w:rFonts w:ascii="宋体" w:hAnsi="Times New Roman" w:cs="宋体"/>
                <w:b/>
                <w:kern w:val="0"/>
                <w:szCs w:val="21"/>
              </w:rPr>
            </w:pPr>
            <w:r>
              <w:rPr>
                <w:rFonts w:hint="eastAsia" w:ascii="宋体" w:hAnsi="Times New Roman" w:cs="宋体"/>
                <w:b/>
                <w:kern w:val="0"/>
                <w:szCs w:val="21"/>
              </w:rPr>
              <w:t>收款人名称</w:t>
            </w:r>
          </w:p>
        </w:tc>
        <w:tc>
          <w:tcPr>
            <w:tcW w:w="5579" w:type="dxa"/>
            <w:vAlign w:val="center"/>
          </w:tcPr>
          <w:p w14:paraId="28CBAAA4">
            <w:pPr>
              <w:widowControl/>
              <w:shd w:val="clear" w:color="auto" w:fill="FFFFFF"/>
              <w:adjustRightInd w:val="0"/>
              <w:snapToGrid w:val="0"/>
              <w:spacing w:line="360" w:lineRule="auto"/>
              <w:jc w:val="center"/>
              <w:rPr>
                <w:rFonts w:ascii="宋体" w:hAnsi="Times New Roman" w:cs="宋体"/>
                <w:kern w:val="0"/>
                <w:szCs w:val="21"/>
              </w:rPr>
            </w:pPr>
            <w:r>
              <w:rPr>
                <w:rFonts w:hint="eastAsia" w:ascii="宋体" w:hAnsi="Times New Roman" w:cs="宋体"/>
                <w:kern w:val="0"/>
                <w:szCs w:val="21"/>
              </w:rPr>
              <w:t>深圳市深水水务咨询有限公司</w:t>
            </w:r>
          </w:p>
        </w:tc>
      </w:tr>
      <w:tr w14:paraId="29BA71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2943" w:type="dxa"/>
            <w:vAlign w:val="center"/>
          </w:tcPr>
          <w:p w14:paraId="441ECF27">
            <w:pPr>
              <w:widowControl/>
              <w:shd w:val="clear" w:color="auto" w:fill="FFFFFF"/>
              <w:adjustRightInd w:val="0"/>
              <w:snapToGrid w:val="0"/>
              <w:spacing w:line="360" w:lineRule="auto"/>
              <w:jc w:val="center"/>
              <w:rPr>
                <w:rFonts w:ascii="宋体" w:hAnsi="Times New Roman" w:cs="宋体"/>
                <w:b/>
                <w:kern w:val="0"/>
                <w:szCs w:val="21"/>
              </w:rPr>
            </w:pPr>
            <w:r>
              <w:rPr>
                <w:rFonts w:hint="eastAsia" w:ascii="宋体" w:hAnsi="Times New Roman" w:cs="宋体"/>
                <w:b/>
                <w:kern w:val="0"/>
                <w:szCs w:val="21"/>
              </w:rPr>
              <w:t>开户银行</w:t>
            </w:r>
          </w:p>
        </w:tc>
        <w:tc>
          <w:tcPr>
            <w:tcW w:w="5579" w:type="dxa"/>
            <w:vAlign w:val="center"/>
          </w:tcPr>
          <w:p w14:paraId="2EE485F3">
            <w:pPr>
              <w:widowControl/>
              <w:shd w:val="clear" w:color="auto" w:fill="FFFFFF"/>
              <w:adjustRightInd w:val="0"/>
              <w:snapToGrid w:val="0"/>
              <w:spacing w:line="360" w:lineRule="auto"/>
              <w:jc w:val="center"/>
              <w:rPr>
                <w:rFonts w:ascii="宋体" w:hAnsi="Times New Roman" w:cs="宋体"/>
                <w:b/>
                <w:szCs w:val="21"/>
              </w:rPr>
            </w:pPr>
            <w:r>
              <w:rPr>
                <w:rFonts w:hint="eastAsia" w:ascii="宋体" w:hAnsi="Times New Roman" w:cs="宋体"/>
                <w:kern w:val="0"/>
              </w:rPr>
              <w:t>交通银行深圳金叶支行</w:t>
            </w:r>
          </w:p>
        </w:tc>
      </w:tr>
      <w:tr w14:paraId="781EDD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2943" w:type="dxa"/>
            <w:vAlign w:val="center"/>
          </w:tcPr>
          <w:p w14:paraId="5DDB978B">
            <w:pPr>
              <w:widowControl/>
              <w:shd w:val="clear" w:color="auto" w:fill="FFFFFF"/>
              <w:adjustRightInd w:val="0"/>
              <w:snapToGrid w:val="0"/>
              <w:spacing w:line="360" w:lineRule="auto"/>
              <w:ind w:firstLine="422"/>
              <w:jc w:val="center"/>
              <w:rPr>
                <w:rFonts w:ascii="宋体" w:hAnsi="Times New Roman" w:cs="宋体"/>
                <w:b/>
                <w:szCs w:val="21"/>
              </w:rPr>
            </w:pPr>
            <w:r>
              <w:rPr>
                <w:rFonts w:hint="eastAsia" w:ascii="宋体" w:hAnsi="Times New Roman" w:cs="宋体"/>
                <w:b/>
                <w:kern w:val="0"/>
                <w:szCs w:val="21"/>
              </w:rPr>
              <w:t>账</w:t>
            </w:r>
            <w:r>
              <w:rPr>
                <w:rFonts w:ascii="宋体" w:hAnsi="Times New Roman" w:cs="宋体"/>
                <w:b/>
                <w:kern w:val="0"/>
                <w:szCs w:val="21"/>
              </w:rPr>
              <w:t xml:space="preserve">    </w:t>
            </w:r>
            <w:r>
              <w:rPr>
                <w:rFonts w:hint="eastAsia" w:ascii="宋体" w:hAnsi="Times New Roman" w:cs="宋体"/>
                <w:b/>
                <w:kern w:val="0"/>
                <w:szCs w:val="21"/>
              </w:rPr>
              <w:t>号</w:t>
            </w:r>
          </w:p>
        </w:tc>
        <w:tc>
          <w:tcPr>
            <w:tcW w:w="5579" w:type="dxa"/>
            <w:vAlign w:val="center"/>
          </w:tcPr>
          <w:p w14:paraId="1F34AB23">
            <w:pPr>
              <w:widowControl/>
              <w:shd w:val="clear" w:color="auto" w:fill="FFFFFF"/>
              <w:spacing w:line="240" w:lineRule="exact"/>
              <w:jc w:val="center"/>
              <w:rPr>
                <w:rFonts w:ascii="宋体" w:hAnsi="Times New Roman" w:cs="宋体"/>
                <w:b/>
                <w:szCs w:val="21"/>
              </w:rPr>
            </w:pPr>
            <w:r>
              <w:rPr>
                <w:rFonts w:ascii="宋体" w:hAnsi="Times New Roman" w:cs="宋体"/>
                <w:kern w:val="0"/>
              </w:rPr>
              <w:t>443899991010003343618</w:t>
            </w:r>
          </w:p>
        </w:tc>
      </w:tr>
    </w:tbl>
    <w:p w14:paraId="7427EA22"/>
    <w:p w14:paraId="3D4A69D8">
      <w:pPr>
        <w:widowControl/>
        <w:jc w:val="left"/>
        <w:rPr>
          <w:rFonts w:ascii="宋体" w:hAnsi="宋体" w:cs="Arial"/>
          <w:b/>
          <w:sz w:val="24"/>
        </w:rPr>
      </w:pPr>
      <w:r>
        <w:br w:type="page"/>
      </w:r>
    </w:p>
    <w:p w14:paraId="08209205">
      <w:pPr>
        <w:pStyle w:val="5"/>
        <w:numPr>
          <w:ilvl w:val="0"/>
          <w:numId w:val="0"/>
        </w:numPr>
        <w:rPr>
          <w:rFonts w:cs="Arial"/>
          <w:bCs w:val="0"/>
        </w:rPr>
      </w:pPr>
      <w:bookmarkStart w:id="289" w:name="_Toc28311"/>
      <w:bookmarkStart w:id="290" w:name="_Toc151802172"/>
      <w:r>
        <w:rPr>
          <w:rFonts w:hint="eastAsia" w:cs="Arial"/>
          <w:bCs w:val="0"/>
        </w:rPr>
        <w:t>20</w:t>
      </w:r>
      <w:r>
        <w:rPr>
          <w:rFonts w:cs="Arial"/>
          <w:bCs w:val="0"/>
        </w:rPr>
        <w:t>.采购文件要求的其他内容及</w:t>
      </w:r>
      <w:r>
        <w:rPr>
          <w:rFonts w:hint="eastAsia" w:cs="Arial"/>
          <w:bCs w:val="0"/>
        </w:rPr>
        <w:t>供应商认为需要加以说明的其他内容</w:t>
      </w:r>
      <w:bookmarkEnd w:id="289"/>
      <w:bookmarkEnd w:id="290"/>
    </w:p>
    <w:p w14:paraId="0D550610">
      <w:pPr>
        <w:jc w:val="left"/>
        <w:rPr>
          <w:rFonts w:ascii="Arial" w:hAnsi="Arial"/>
          <w:b/>
          <w:bCs/>
          <w:sz w:val="36"/>
          <w:szCs w:val="32"/>
        </w:rPr>
      </w:pPr>
    </w:p>
    <w:sectPr>
      <w:footerReference r:id="rId12" w:type="default"/>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Verdana">
    <w:panose1 w:val="020B0604030504040204"/>
    <w:charset w:val="00"/>
    <w:family w:val="swiss"/>
    <w:pitch w:val="default"/>
    <w:sig w:usb0="A00006FF" w:usb1="4000205B" w:usb2="00000010" w:usb3="00000000" w:csb0="2000019F" w:csb1="00000000"/>
  </w:font>
  <w:font w:name="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等线">
    <w:panose1 w:val="02010600030101010101"/>
    <w:charset w:val="86"/>
    <w:family w:val="auto"/>
    <w:pitch w:val="default"/>
    <w:sig w:usb0="A00002BF" w:usb1="38CF7CFA" w:usb2="00000016" w:usb3="00000000" w:csb0="0004000F" w:csb1="00000000"/>
  </w:font>
  <w:font w:name="华文细黑">
    <w:altName w:val="微软雅黑"/>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长城仿宋">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86"/>
    <w:family w:val="modern"/>
    <w:pitch w:val="default"/>
    <w:sig w:usb0="00000000" w:usb1="00000000" w:usb2="00000010" w:usb3="00000000" w:csb0="00040000" w:csb1="00000000"/>
  </w:font>
  <w:font w:name="仿宋体">
    <w:altName w:val="宋体"/>
    <w:panose1 w:val="00000000000000000000"/>
    <w:charset w:val="86"/>
    <w:family w:val="roman"/>
    <w:pitch w:val="default"/>
    <w:sig w:usb0="00000000" w:usb1="00000000" w:usb2="0000001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方正仿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Wingdings">
    <w:panose1 w:val="05000000000000000000"/>
    <w:charset w:val="00"/>
    <w:family w:val="auto"/>
    <w:pitch w:val="default"/>
    <w:sig w:usb0="00000000" w:usb1="00000000" w:usb2="00000000" w:usb3="00000000" w:csb0="80000000" w:csb1="0000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DC9E30">
    <w:pPr>
      <w:pStyle w:val="31"/>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C27C6">
    <w:pPr>
      <w:pStyle w:val="31"/>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E5828C">
    <w:pPr>
      <w:pStyle w:val="3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0" r="0" b="0"/>
              <wp:wrapNone/>
              <wp:docPr id="4097" name="文本框 3"/>
              <wp:cNvGraphicFramePr/>
              <a:graphic xmlns:a="http://schemas.openxmlformats.org/drawingml/2006/main">
                <a:graphicData uri="http://schemas.microsoft.com/office/word/2010/wordprocessingShape">
                  <wps:wsp>
                    <wps:cNvSpPr/>
                    <wps:spPr>
                      <a:xfrm>
                        <a:off x="0" y="0"/>
                        <a:ext cx="57785" cy="147955"/>
                      </a:xfrm>
                      <a:prstGeom prst="rect">
                        <a:avLst/>
                      </a:prstGeom>
                      <a:noFill/>
                      <a:ln>
                        <a:noFill/>
                      </a:ln>
                      <a:effectLst/>
                    </wps:spPr>
                    <wps:txbx>
                      <w:txbxContent>
                        <w:p w14:paraId="43F3A8B6">
                          <w:pPr>
                            <w:pStyle w:val="31"/>
                          </w:pPr>
                          <w:r>
                            <w:fldChar w:fldCharType="begin"/>
                          </w:r>
                          <w:r>
                            <w:instrText xml:space="preserve"> PAGE  \* MERGEFORMAT </w:instrText>
                          </w:r>
                          <w:r>
                            <w:fldChar w:fldCharType="separate"/>
                          </w:r>
                          <w:r>
                            <w:t>56</w:t>
                          </w:r>
                          <w:r>
                            <w:fldChar w:fldCharType="end"/>
                          </w:r>
                        </w:p>
                      </w:txbxContent>
                    </wps:txbx>
                    <wps:bodyPr vert="horz" wrap="square" lIns="91440" tIns="45720" rIns="91440" bIns="45720" anchor="t"/>
                  </wps:wsp>
                </a:graphicData>
              </a:graphic>
            </wp:anchor>
          </w:drawing>
        </mc:Choice>
        <mc:Fallback>
          <w:pict>
            <v:rect id="文本框 3" o:spid="_x0000_s1026" o:spt="1" style="position:absolute;left:0pt;margin-top:0pt;height:11.65pt;width:4.55pt;mso-position-horizontal:center;mso-position-horizontal-relative:margin;z-index:251659264;mso-width-relative:page;mso-height-relative:page;" filled="f" stroked="f" coordsize="21600,21600" o:gfxdata="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Eh9c77UAAAAAgEAAA8AAAAAAAAAAQAgAAAAIgAA&#10;AGRycy9kb3ducmV2LnhtbFBLAQIUABQAAAAIAIdO4kAzeNQ10wEAAKADAAAOAAAAAAAAAAEAIAAA&#10;ACMBAABkcnMvZTJvRG9jLnhtbFBLBQYAAAAABgAGAFkBAABoBQAAAAA=&#10;">
              <v:fill on="f" focussize="0,0"/>
              <v:stroke on="f"/>
              <v:imagedata o:title=""/>
              <o:lock v:ext="edit" aspectratio="f"/>
              <v:textbox>
                <w:txbxContent>
                  <w:p w14:paraId="43F3A8B6">
                    <w:pPr>
                      <w:pStyle w:val="31"/>
                    </w:pPr>
                    <w:r>
                      <w:fldChar w:fldCharType="begin"/>
                    </w:r>
                    <w:r>
                      <w:instrText xml:space="preserve"> PAGE  \* MERGEFORMAT </w:instrText>
                    </w:r>
                    <w:r>
                      <w:fldChar w:fldCharType="separate"/>
                    </w:r>
                    <w:r>
                      <w:t>56</w:t>
                    </w:r>
                    <w:r>
                      <w:fldChar w:fldCharType="end"/>
                    </w: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9A4E88">
    <w:pPr>
      <w:pStyle w:val="3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6C6B23">
    <w:pPr>
      <w:pStyle w:val="3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B17C6">
    <w:pPr>
      <w:pStyle w:val="31"/>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4935" cy="147955"/>
              <wp:effectExtent l="0" t="0" r="0" b="0"/>
              <wp:wrapNone/>
              <wp:docPr id="4098" name="文本框 1"/>
              <wp:cNvGraphicFramePr/>
              <a:graphic xmlns:a="http://schemas.openxmlformats.org/drawingml/2006/main">
                <a:graphicData uri="http://schemas.microsoft.com/office/word/2010/wordprocessingShape">
                  <wps:wsp>
                    <wps:cNvSpPr/>
                    <wps:spPr>
                      <a:xfrm>
                        <a:off x="0" y="0"/>
                        <a:ext cx="114934" cy="147955"/>
                      </a:xfrm>
                      <a:prstGeom prst="rect">
                        <a:avLst/>
                      </a:prstGeom>
                      <a:noFill/>
                      <a:ln>
                        <a:noFill/>
                      </a:ln>
                      <a:effectLst/>
                    </wps:spPr>
                    <wps:txbx>
                      <w:txbxContent>
                        <w:p w14:paraId="157C8380">
                          <w:pPr>
                            <w:pStyle w:val="31"/>
                            <w:jc w:val="center"/>
                          </w:pPr>
                          <w:r>
                            <w:fldChar w:fldCharType="begin"/>
                          </w:r>
                          <w:r>
                            <w:instrText xml:space="preserve"> PAGE   \* MERGEFORMAT </w:instrText>
                          </w:r>
                          <w:r>
                            <w:fldChar w:fldCharType="separate"/>
                          </w:r>
                          <w:r>
                            <w:rPr>
                              <w:lang w:val="zh-CN"/>
                            </w:rPr>
                            <w:t>66</w:t>
                          </w:r>
                          <w:r>
                            <w:rPr>
                              <w:lang w:val="zh-CN"/>
                            </w:rPr>
                            <w:fldChar w:fldCharType="end"/>
                          </w:r>
                        </w:p>
                      </w:txbxContent>
                    </wps:txbx>
                    <wps:bodyPr vert="horz" wrap="square" lIns="91440" tIns="45720" rIns="91440" bIns="45720" anchor="t"/>
                  </wps:wsp>
                </a:graphicData>
              </a:graphic>
            </wp:anchor>
          </w:drawing>
        </mc:Choice>
        <mc:Fallback>
          <w:pict>
            <v:rect id="文本框 1" o:spid="_x0000_s1026" o:spt="1" style="position:absolute;left:0pt;margin-top:0pt;height:11.65pt;width:9.05pt;mso-position-horizontal:center;mso-position-horizontal-relative:margin;z-index:251660288;mso-width-relative:page;mso-height-relative:page;" filled="f" stroked="f" coordsize="21600,21600" o:gfxdata="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kdGpJ1AAAAAMBAAAPAAAAAAAAAAEAIAAAACIA&#10;AABkcnMvZG93bnJldi54bWxQSwECFAAUAAAACACHTuJAyzSzRdQBAAChAwAADgAAAAAAAAABACAA&#10;AAAjAQAAZHJzL2Uyb0RvYy54bWxQSwUGAAAAAAYABgBZAQAAaQUAAAAA&#10;">
              <v:fill on="f" focussize="0,0"/>
              <v:stroke on="f"/>
              <v:imagedata o:title=""/>
              <o:lock v:ext="edit" aspectratio="f"/>
              <v:textbox>
                <w:txbxContent>
                  <w:p w14:paraId="157C8380">
                    <w:pPr>
                      <w:pStyle w:val="31"/>
                      <w:jc w:val="center"/>
                    </w:pPr>
                    <w:r>
                      <w:fldChar w:fldCharType="begin"/>
                    </w:r>
                    <w:r>
                      <w:instrText xml:space="preserve"> PAGE   \* MERGEFORMAT </w:instrText>
                    </w:r>
                    <w:r>
                      <w:fldChar w:fldCharType="separate"/>
                    </w:r>
                    <w:r>
                      <w:rPr>
                        <w:lang w:val="zh-CN"/>
                      </w:rPr>
                      <w:t>66</w:t>
                    </w:r>
                    <w:r>
                      <w:rPr>
                        <w:lang w:val="zh-CN"/>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714464">
    <w:pPr>
      <w:widowControl/>
      <w:jc w:val="center"/>
      <w:rPr>
        <w:rFonts w:ascii="宋体" w:hAnsi="宋体" w:cs="宋体"/>
        <w:color w:val="000000"/>
        <w:kern w:val="0"/>
        <w:sz w:val="20"/>
        <w:szCs w:val="20"/>
      </w:rPr>
    </w:pPr>
    <w:r>
      <w:rPr>
        <w:rFonts w:hint="eastAsia" w:ascii="宋体" w:hAnsi="宋体" w:cs="宋体"/>
        <w:color w:val="000000"/>
        <w:kern w:val="0"/>
        <w:sz w:val="20"/>
        <w:szCs w:val="20"/>
      </w:rPr>
      <w:t>皇岗海关29栋、31栋、33栋、34栋公有住房修缮项目-</w:t>
    </w:r>
    <w:r>
      <w:t xml:space="preserve"> </w:t>
    </w:r>
    <w:r>
      <w:rPr>
        <w:rFonts w:hint="eastAsia" w:ascii="宋体" w:hAnsi="宋体" w:cs="宋体"/>
        <w:color w:val="000000"/>
        <w:kern w:val="0"/>
        <w:sz w:val="20"/>
        <w:szCs w:val="20"/>
      </w:rPr>
      <w:t>SSZX2025-303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70F62">
    <w:pPr>
      <w:widowControl/>
      <w:jc w:val="center"/>
    </w:pPr>
    <w:r>
      <w:rPr>
        <w:rFonts w:hint="eastAsia" w:ascii="宋体" w:hAnsi="宋体" w:cs="宋体"/>
        <w:color w:val="000000"/>
        <w:kern w:val="0"/>
        <w:sz w:val="20"/>
        <w:szCs w:val="20"/>
      </w:rPr>
      <w:t>皇岗海关29栋、31栋、33栋、34栋公有住房修缮项目-</w:t>
    </w:r>
    <w:r>
      <w:t xml:space="preserve"> </w:t>
    </w:r>
    <w:r>
      <w:rPr>
        <w:rFonts w:hint="eastAsia" w:ascii="宋体" w:hAnsi="宋体" w:cs="宋体"/>
        <w:color w:val="000000"/>
        <w:kern w:val="0"/>
        <w:sz w:val="20"/>
        <w:szCs w:val="20"/>
      </w:rPr>
      <w:t>SSZX2025-303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FFD165">
    <w:pPr>
      <w:pStyle w:val="3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26C2A">
    <w:pPr>
      <w:pStyle w:val="3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bullet"/>
      <w:pStyle w:val="207"/>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00000002"/>
    <w:multiLevelType w:val="multilevel"/>
    <w:tmpl w:val="00000002"/>
    <w:lvl w:ilvl="0" w:tentative="0">
      <w:start w:val="1"/>
      <w:numFmt w:val="decimal"/>
      <w:pStyle w:val="325"/>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2">
    <w:nsid w:val="00000003"/>
    <w:multiLevelType w:val="multilevel"/>
    <w:tmpl w:val="00000003"/>
    <w:lvl w:ilvl="0" w:tentative="0">
      <w:start w:val="5"/>
      <w:numFmt w:val="decimal"/>
      <w:lvlText w:val="%1"/>
      <w:lvlJc w:val="left"/>
      <w:pPr>
        <w:tabs>
          <w:tab w:val="left" w:pos="425"/>
        </w:tabs>
        <w:ind w:left="425" w:hanging="425"/>
      </w:pPr>
      <w:rPr>
        <w:rFonts w:hint="eastAsia"/>
      </w:rPr>
    </w:lvl>
    <w:lvl w:ilvl="1" w:tentative="0">
      <w:start w:val="1"/>
      <w:numFmt w:val="decimal"/>
      <w:pStyle w:val="179"/>
      <w:lvlText w:val="%1.%2"/>
      <w:lvlJc w:val="left"/>
      <w:pPr>
        <w:tabs>
          <w:tab w:val="left" w:pos="510"/>
        </w:tabs>
        <w:ind w:left="420" w:hanging="420"/>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
    <w:nsid w:val="00000004"/>
    <w:multiLevelType w:val="multilevel"/>
    <w:tmpl w:val="00000004"/>
    <w:lvl w:ilvl="0" w:tentative="0">
      <w:start w:val="1"/>
      <w:numFmt w:val="decimal"/>
      <w:pStyle w:val="340"/>
      <w:lvlText w:val="%1)"/>
      <w:lvlJc w:val="left"/>
      <w:pPr>
        <w:ind w:left="420" w:hanging="420"/>
      </w:pPr>
      <w:rPr>
        <w:rFonts w:ascii="Times New Roman" w:hAnsi="Times New Roman" w:cs="Times New Roman"/>
        <w:b w:val="0"/>
        <w:bCs w:val="0"/>
        <w:i w:val="0"/>
        <w:iCs w:val="0"/>
        <w:vanish/>
        <w:color w:val="000000"/>
        <w:spacing w:val="0"/>
        <w:u w:val="none"/>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5"/>
    <w:multiLevelType w:val="multilevel"/>
    <w:tmpl w:val="00000005"/>
    <w:lvl w:ilvl="0" w:tentative="0">
      <w:start w:val="1"/>
      <w:numFmt w:val="decimal"/>
      <w:suff w:val="nothing"/>
      <w:lvlText w:val="%1"/>
      <w:lvlJc w:val="left"/>
      <w:pPr>
        <w:ind w:left="0" w:firstLine="0"/>
      </w:pPr>
      <w:rPr>
        <w:rFonts w:hint="eastAsia" w:ascii="宋体" w:hAnsi="宋体" w:eastAsia="宋体"/>
        <w:b w:val="0"/>
        <w:i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06"/>
    <w:multiLevelType w:val="multilevel"/>
    <w:tmpl w:val="00000006"/>
    <w:lvl w:ilvl="0" w:tentative="0">
      <w:start w:val="1"/>
      <w:numFmt w:val="bullet"/>
      <w:pStyle w:val="13"/>
      <w:lvlText w:val=""/>
      <w:lvlJc w:val="left"/>
      <w:pPr>
        <w:ind w:left="988"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abstractNum w:abstractNumId="6">
    <w:nsid w:val="00000008"/>
    <w:multiLevelType w:val="multilevel"/>
    <w:tmpl w:val="00000008"/>
    <w:lvl w:ilvl="0" w:tentative="0">
      <w:start w:val="1"/>
      <w:numFmt w:val="decimal"/>
      <w:pStyle w:val="222"/>
      <w:lvlText w:val="%1."/>
      <w:lvlJc w:val="left"/>
      <w:pPr>
        <w:tabs>
          <w:tab w:val="left" w:pos="900"/>
        </w:tabs>
        <w:ind w:left="90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0000009"/>
    <w:multiLevelType w:val="multilevel"/>
    <w:tmpl w:val="00000009"/>
    <w:lvl w:ilvl="0" w:tentative="0">
      <w:start w:val="1"/>
      <w:numFmt w:val="decimal"/>
      <w:pStyle w:val="331"/>
      <w:lvlText w:val="%1)"/>
      <w:lvlJc w:val="left"/>
      <w:pPr>
        <w:ind w:left="982" w:hanging="420"/>
      </w:pPr>
    </w:lvl>
    <w:lvl w:ilvl="1" w:tentative="0">
      <w:start w:val="1"/>
      <w:numFmt w:val="lowerLetter"/>
      <w:pStyle w:val="328"/>
      <w:lvlText w:val="%2)"/>
      <w:lvlJc w:val="left"/>
      <w:pPr>
        <w:ind w:left="1402" w:hanging="420"/>
      </w:pPr>
    </w:lvl>
    <w:lvl w:ilvl="2" w:tentative="0">
      <w:start w:val="1"/>
      <w:numFmt w:val="lowerRoman"/>
      <w:pStyle w:val="329"/>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8">
    <w:nsid w:val="0000000A"/>
    <w:multiLevelType w:val="singleLevel"/>
    <w:tmpl w:val="0000000A"/>
    <w:lvl w:ilvl="0" w:tentative="0">
      <w:start w:val="1"/>
      <w:numFmt w:val="bullet"/>
      <w:pStyle w:val="245"/>
      <w:lvlText w:val=""/>
      <w:lvlJc w:val="left"/>
      <w:pPr>
        <w:tabs>
          <w:tab w:val="left" w:pos="360"/>
        </w:tabs>
        <w:ind w:left="360" w:hanging="360"/>
      </w:pPr>
      <w:rPr>
        <w:rFonts w:hint="default" w:ascii="Wingdings" w:hAnsi="Wingdings"/>
      </w:rPr>
    </w:lvl>
  </w:abstractNum>
  <w:abstractNum w:abstractNumId="9">
    <w:nsid w:val="0000000B"/>
    <w:multiLevelType w:val="multilevel"/>
    <w:tmpl w:val="0000000B"/>
    <w:lvl w:ilvl="0" w:tentative="0">
      <w:start w:val="1"/>
      <w:numFmt w:val="chineseCountingThousand"/>
      <w:pStyle w:val="311"/>
      <w:lvlText w:val="第%1章"/>
      <w:lvlJc w:val="left"/>
      <w:pPr>
        <w:tabs>
          <w:tab w:val="left" w:pos="340"/>
        </w:tabs>
        <w:ind w:left="0" w:firstLine="0"/>
      </w:pPr>
      <w:rPr>
        <w:rFonts w:hint="eastAsia"/>
      </w:rPr>
    </w:lvl>
    <w:lvl w:ilvl="1" w:tentative="0">
      <w:start w:val="1"/>
      <w:numFmt w:val="decimal"/>
      <w:pStyle w:val="312"/>
      <w:suff w:val="space"/>
      <w:lvlText w:val="%1.%2"/>
      <w:lvlJc w:val="left"/>
      <w:pPr>
        <w:ind w:left="0" w:firstLine="0"/>
      </w:pPr>
      <w:rPr>
        <w:rFonts w:hint="eastAsia"/>
      </w:rPr>
    </w:lvl>
    <w:lvl w:ilvl="2" w:tentative="0">
      <w:start w:val="1"/>
      <w:numFmt w:val="decimal"/>
      <w:pStyle w:val="314"/>
      <w:suff w:val="space"/>
      <w:lvlText w:val="%1.%2.%3"/>
      <w:lvlJc w:val="left"/>
      <w:pPr>
        <w:ind w:left="0" w:firstLine="0"/>
      </w:pPr>
      <w:rPr>
        <w:rFonts w:hint="eastAsia"/>
      </w:rPr>
    </w:lvl>
    <w:lvl w:ilvl="3" w:tentative="0">
      <w:start w:val="1"/>
      <w:numFmt w:val="decimal"/>
      <w:pStyle w:val="316"/>
      <w:suff w:val="space"/>
      <w:lvlText w:val="%1.%2.%3.%4"/>
      <w:lvlJc w:val="left"/>
      <w:pPr>
        <w:ind w:left="0" w:firstLine="0"/>
      </w:pPr>
      <w:rPr>
        <w:b w:val="0"/>
        <w:bCs w:val="0"/>
        <w:i w:val="0"/>
        <w:iCs w:val="0"/>
        <w:vanish/>
        <w:color w:val="000000"/>
        <w:spacing w:val="0"/>
        <w:u w:val="none"/>
        <w:vertAlign w:val="baseline"/>
      </w:rPr>
    </w:lvl>
    <w:lvl w:ilvl="4" w:tentative="0">
      <w:start w:val="1"/>
      <w:numFmt w:val="decimal"/>
      <w:pStyle w:val="318"/>
      <w:suff w:val="space"/>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0">
    <w:nsid w:val="0000000C"/>
    <w:multiLevelType w:val="multilevel"/>
    <w:tmpl w:val="0000000C"/>
    <w:lvl w:ilvl="0" w:tentative="0">
      <w:start w:val="1"/>
      <w:numFmt w:val="bullet"/>
      <w:pStyle w:val="294"/>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1">
    <w:nsid w:val="0000000D"/>
    <w:multiLevelType w:val="multilevel"/>
    <w:tmpl w:val="0000000D"/>
    <w:lvl w:ilvl="0" w:tentative="0">
      <w:start w:val="1"/>
      <w:numFmt w:val="decimal"/>
      <w:pStyle w:val="335"/>
      <w:lvlText w:val="%1)"/>
      <w:lvlJc w:val="left"/>
      <w:pPr>
        <w:ind w:left="980" w:hanging="420"/>
      </w:pPr>
      <w:rPr>
        <w:b w:val="0"/>
        <w:bCs w:val="0"/>
        <w:i w:val="0"/>
        <w:iCs w:val="0"/>
        <w:vanish/>
        <w:color w:val="000000"/>
        <w:spacing w:val="0"/>
        <w:u w:val="none"/>
        <w:vertAlign w:val="baseline"/>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2">
    <w:nsid w:val="0000000F"/>
    <w:multiLevelType w:val="multilevel"/>
    <w:tmpl w:val="0000000F"/>
    <w:lvl w:ilvl="0" w:tentative="0">
      <w:start w:val="1"/>
      <w:numFmt w:val="bullet"/>
      <w:pStyle w:val="213"/>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3">
    <w:nsid w:val="00000010"/>
    <w:multiLevelType w:val="multilevel"/>
    <w:tmpl w:val="00000010"/>
    <w:lvl w:ilvl="0" w:tentative="0">
      <w:start w:val="1"/>
      <w:numFmt w:val="decimal"/>
      <w:pStyle w:val="301"/>
      <w:suff w:val="space"/>
      <w:lvlText w:val="%1"/>
      <w:lvlJc w:val="left"/>
      <w:pPr>
        <w:ind w:left="0" w:firstLine="0"/>
      </w:pPr>
      <w:rPr>
        <w:rFonts w:hint="eastAsia"/>
      </w:rPr>
    </w:lvl>
    <w:lvl w:ilvl="1" w:tentative="0">
      <w:start w:val="1"/>
      <w:numFmt w:val="decimal"/>
      <w:pStyle w:val="303"/>
      <w:suff w:val="space"/>
      <w:lvlText w:val="%1.%2"/>
      <w:lvlJc w:val="left"/>
      <w:pPr>
        <w:ind w:left="0" w:firstLine="0"/>
      </w:pPr>
      <w:rPr>
        <w:rFonts w:hint="eastAsia"/>
      </w:rPr>
    </w:lvl>
    <w:lvl w:ilvl="2" w:tentative="0">
      <w:start w:val="1"/>
      <w:numFmt w:val="decimal"/>
      <w:pStyle w:val="305"/>
      <w:suff w:val="space"/>
      <w:lvlText w:val="%1.%2.%3"/>
      <w:lvlJc w:val="left"/>
      <w:pPr>
        <w:ind w:left="0" w:firstLine="0"/>
      </w:pPr>
      <w:rPr>
        <w:rFonts w:hint="eastAsia"/>
      </w:rPr>
    </w:lvl>
    <w:lvl w:ilvl="3" w:tentative="0">
      <w:start w:val="1"/>
      <w:numFmt w:val="decimal"/>
      <w:pStyle w:val="307"/>
      <w:suff w:val="space"/>
      <w:lvlText w:val="%1.%2.%3.%4"/>
      <w:lvlJc w:val="left"/>
      <w:pPr>
        <w:ind w:left="0" w:firstLine="0"/>
      </w:pPr>
      <w:rPr>
        <w:rFonts w:hint="eastAsia"/>
      </w:rPr>
    </w:lvl>
    <w:lvl w:ilvl="4" w:tentative="0">
      <w:start w:val="1"/>
      <w:numFmt w:val="decimal"/>
      <w:pStyle w:val="309"/>
      <w:suff w:val="space"/>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4">
    <w:nsid w:val="00000011"/>
    <w:multiLevelType w:val="multilevel"/>
    <w:tmpl w:val="00000011"/>
    <w:lvl w:ilvl="0" w:tentative="0">
      <w:start w:val="1"/>
      <w:numFmt w:val="bullet"/>
      <w:pStyle w:val="184"/>
      <w:lvlText w:val=""/>
      <w:lvlJc w:val="left"/>
      <w:pPr>
        <w:ind w:left="780" w:hanging="420"/>
      </w:pPr>
      <w:rPr>
        <w:rFonts w:hint="default" w:ascii="Wingdings" w:hAnsi="Wingdings"/>
      </w:rPr>
    </w:lvl>
    <w:lvl w:ilvl="1" w:tentative="0">
      <w:start w:val="1"/>
      <w:numFmt w:val="bullet"/>
      <w:lvlText w:val=""/>
      <w:lvlJc w:val="left"/>
      <w:pPr>
        <w:ind w:left="1200" w:hanging="420"/>
      </w:pPr>
      <w:rPr>
        <w:rFonts w:hint="default" w:ascii="Wingdings" w:hAnsi="Wingdings"/>
      </w:rPr>
    </w:lvl>
    <w:lvl w:ilvl="2" w:tentative="0">
      <w:start w:val="1"/>
      <w:numFmt w:val="bullet"/>
      <w:lvlText w:val=""/>
      <w:lvlJc w:val="left"/>
      <w:pPr>
        <w:ind w:left="1620" w:hanging="420"/>
      </w:pPr>
      <w:rPr>
        <w:rFonts w:hint="default" w:ascii="Wingdings" w:hAnsi="Wingdings"/>
      </w:rPr>
    </w:lvl>
    <w:lvl w:ilvl="3" w:tentative="0">
      <w:start w:val="1"/>
      <w:numFmt w:val="bullet"/>
      <w:lvlText w:val=""/>
      <w:lvlJc w:val="left"/>
      <w:pPr>
        <w:ind w:left="2040" w:hanging="420"/>
      </w:pPr>
      <w:rPr>
        <w:rFonts w:hint="default" w:ascii="Wingdings" w:hAnsi="Wingdings"/>
      </w:rPr>
    </w:lvl>
    <w:lvl w:ilvl="4" w:tentative="0">
      <w:start w:val="1"/>
      <w:numFmt w:val="bullet"/>
      <w:lvlText w:val=""/>
      <w:lvlJc w:val="left"/>
      <w:pPr>
        <w:ind w:left="2460" w:hanging="420"/>
      </w:pPr>
      <w:rPr>
        <w:rFonts w:hint="default" w:ascii="Wingdings" w:hAnsi="Wingdings"/>
      </w:rPr>
    </w:lvl>
    <w:lvl w:ilvl="5" w:tentative="0">
      <w:start w:val="1"/>
      <w:numFmt w:val="bullet"/>
      <w:lvlText w:val=""/>
      <w:lvlJc w:val="left"/>
      <w:pPr>
        <w:ind w:left="2880" w:hanging="420"/>
      </w:pPr>
      <w:rPr>
        <w:rFonts w:hint="default" w:ascii="Wingdings" w:hAnsi="Wingdings"/>
      </w:rPr>
    </w:lvl>
    <w:lvl w:ilvl="6" w:tentative="0">
      <w:start w:val="1"/>
      <w:numFmt w:val="bullet"/>
      <w:lvlText w:val=""/>
      <w:lvlJc w:val="left"/>
      <w:pPr>
        <w:ind w:left="3300" w:hanging="420"/>
      </w:pPr>
      <w:rPr>
        <w:rFonts w:hint="default" w:ascii="Wingdings" w:hAnsi="Wingdings"/>
      </w:rPr>
    </w:lvl>
    <w:lvl w:ilvl="7" w:tentative="0">
      <w:start w:val="1"/>
      <w:numFmt w:val="bullet"/>
      <w:lvlText w:val=""/>
      <w:lvlJc w:val="left"/>
      <w:pPr>
        <w:ind w:left="3720" w:hanging="420"/>
      </w:pPr>
      <w:rPr>
        <w:rFonts w:hint="default" w:ascii="Wingdings" w:hAnsi="Wingdings"/>
      </w:rPr>
    </w:lvl>
    <w:lvl w:ilvl="8" w:tentative="0">
      <w:start w:val="1"/>
      <w:numFmt w:val="bullet"/>
      <w:lvlText w:val=""/>
      <w:lvlJc w:val="left"/>
      <w:pPr>
        <w:ind w:left="4140" w:hanging="420"/>
      </w:pPr>
      <w:rPr>
        <w:rFonts w:hint="default" w:ascii="Wingdings" w:hAnsi="Wingdings"/>
      </w:rPr>
    </w:lvl>
  </w:abstractNum>
  <w:abstractNum w:abstractNumId="15">
    <w:nsid w:val="00000012"/>
    <w:multiLevelType w:val="multilevel"/>
    <w:tmpl w:val="00000012"/>
    <w:lvl w:ilvl="0" w:tentative="0">
      <w:start w:val="1"/>
      <w:numFmt w:val="chineseCountingThousand"/>
      <w:pStyle w:val="217"/>
      <w:lvlText w:val="第%1章"/>
      <w:lvlJc w:val="left"/>
      <w:pPr>
        <w:tabs>
          <w:tab w:val="left" w:pos="1440"/>
        </w:tabs>
        <w:ind w:left="0" w:firstLine="0"/>
      </w:pPr>
      <w:rPr>
        <w:rFonts w:hint="eastAsia"/>
      </w:rPr>
    </w:lvl>
    <w:lvl w:ilvl="1" w:tentative="0">
      <w:start w:val="1"/>
      <w:numFmt w:val="decimal"/>
      <w:pStyle w:val="218"/>
      <w:lvlText w:val="%1.%2"/>
      <w:lvlJc w:val="left"/>
      <w:pPr>
        <w:tabs>
          <w:tab w:val="left" w:pos="720"/>
        </w:tabs>
        <w:ind w:left="0" w:firstLine="0"/>
      </w:pPr>
      <w:rPr>
        <w:rFonts w:hint="eastAsia"/>
      </w:rPr>
    </w:lvl>
    <w:lvl w:ilvl="2" w:tentative="0">
      <w:start w:val="1"/>
      <w:numFmt w:val="decimal"/>
      <w:pStyle w:val="219"/>
      <w:suff w:val="space"/>
      <w:lvlText w:val="%1.%2.%3"/>
      <w:lvlJc w:val="left"/>
      <w:pPr>
        <w:ind w:left="0" w:firstLine="0"/>
      </w:pPr>
      <w:rPr>
        <w:rFonts w:hint="eastAsia"/>
      </w:rPr>
    </w:lvl>
    <w:lvl w:ilvl="3" w:tentative="0">
      <w:start w:val="1"/>
      <w:numFmt w:val="decimal"/>
      <w:lvlText w:val=""/>
      <w:lvlJc w:val="left"/>
      <w:pPr>
        <w:tabs>
          <w:tab w:val="left" w:pos="360"/>
        </w:tabs>
        <w:ind w:left="0" w:firstLine="0"/>
      </w:pPr>
      <w:rPr>
        <w:rFonts w:hint="eastAsia"/>
      </w:rPr>
    </w:lvl>
    <w:lvl w:ilvl="4" w:tentative="0">
      <w:start w:val="1"/>
      <w:numFmt w:val="decimal"/>
      <w:lvlText w:val=""/>
      <w:lvlJc w:val="left"/>
      <w:pPr>
        <w:tabs>
          <w:tab w:val="left" w:pos="360"/>
        </w:tabs>
        <w:ind w:left="0" w:firstLine="0"/>
      </w:pPr>
      <w:rPr>
        <w:rFonts w:hint="eastAsia"/>
      </w:rPr>
    </w:lvl>
    <w:lvl w:ilvl="5" w:tentative="0">
      <w:start w:val="1"/>
      <w:numFmt w:val="decimal"/>
      <w:lvlText w:val=""/>
      <w:lvlJc w:val="left"/>
      <w:pPr>
        <w:tabs>
          <w:tab w:val="left" w:pos="360"/>
        </w:tabs>
        <w:ind w:left="0" w:firstLine="0"/>
      </w:pPr>
      <w:rPr>
        <w:rFonts w:hint="eastAsia"/>
      </w:rPr>
    </w:lvl>
    <w:lvl w:ilvl="6" w:tentative="0">
      <w:start w:val="1"/>
      <w:numFmt w:val="decimal"/>
      <w:lvlText w:val=""/>
      <w:lvlJc w:val="left"/>
      <w:pPr>
        <w:tabs>
          <w:tab w:val="left" w:pos="360"/>
        </w:tabs>
        <w:ind w:left="0" w:firstLine="0"/>
      </w:pPr>
      <w:rPr>
        <w:rFonts w:hint="eastAsia"/>
      </w:rPr>
    </w:lvl>
    <w:lvl w:ilvl="7" w:tentative="0">
      <w:start w:val="1"/>
      <w:numFmt w:val="decimal"/>
      <w:lvlText w:val=""/>
      <w:lvlJc w:val="left"/>
      <w:pPr>
        <w:tabs>
          <w:tab w:val="left" w:pos="360"/>
        </w:tabs>
        <w:ind w:left="0" w:firstLine="0"/>
      </w:pPr>
      <w:rPr>
        <w:rFonts w:hint="eastAsia"/>
      </w:rPr>
    </w:lvl>
    <w:lvl w:ilvl="8" w:tentative="0">
      <w:start w:val="1"/>
      <w:numFmt w:val="decimal"/>
      <w:lvlText w:val=""/>
      <w:lvlJc w:val="left"/>
      <w:pPr>
        <w:tabs>
          <w:tab w:val="left" w:pos="360"/>
        </w:tabs>
        <w:ind w:left="0" w:firstLine="0"/>
      </w:pPr>
      <w:rPr>
        <w:rFonts w:hint="eastAsia"/>
      </w:rPr>
    </w:lvl>
  </w:abstractNum>
  <w:abstractNum w:abstractNumId="16">
    <w:nsid w:val="00000013"/>
    <w:multiLevelType w:val="multilevel"/>
    <w:tmpl w:val="00000013"/>
    <w:lvl w:ilvl="0" w:tentative="0">
      <w:start w:val="1"/>
      <w:numFmt w:val="decimal"/>
      <w:pStyle w:val="180"/>
      <w:lvlText w:val="图4-%1."/>
      <w:lvlJc w:val="center"/>
      <w:pPr>
        <w:tabs>
          <w:tab w:val="left" w:pos="737"/>
        </w:tabs>
        <w:ind w:left="737" w:hanging="449"/>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00000014"/>
    <w:multiLevelType w:val="multilevel"/>
    <w:tmpl w:val="00000014"/>
    <w:lvl w:ilvl="0" w:tentative="0">
      <w:start w:val="1"/>
      <w:numFmt w:val="chineseCountingThousand"/>
      <w:lvlText w:val="第%1章"/>
      <w:lvlJc w:val="left"/>
      <w:pPr>
        <w:ind w:left="420" w:hanging="420"/>
      </w:pPr>
      <w:rPr>
        <w:rFonts w:hint="eastAsia"/>
      </w:rPr>
    </w:lvl>
    <w:lvl w:ilvl="1" w:tentative="0">
      <w:start w:val="1"/>
      <w:numFmt w:val="decimal"/>
      <w:lvlText w:val="1.%2"/>
      <w:lvlJc w:val="left"/>
      <w:pPr>
        <w:ind w:left="420" w:hanging="420"/>
      </w:pPr>
      <w:rPr>
        <w:rFonts w:hint="default" w:ascii="Calibri Light" w:hAnsi="Calibri Light" w:eastAsia="宋体" w:cs="Calibri"/>
        <w:sz w:val="32"/>
        <w:szCs w:val="32"/>
      </w:rPr>
    </w:lvl>
    <w:lvl w:ilvl="2" w:tentative="0">
      <w:start w:val="1"/>
      <w:numFmt w:val="decimal"/>
      <w:pStyle w:val="5"/>
      <w:lvlText w:val="1.1.%3"/>
      <w:lvlJc w:val="left"/>
      <w:pPr>
        <w:ind w:left="420" w:firstLine="147"/>
      </w:pPr>
      <w:rPr>
        <w:rFonts w:hint="eastAsia"/>
      </w:r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00000015"/>
    <w:multiLevelType w:val="multilevel"/>
    <w:tmpl w:val="00000015"/>
    <w:lvl w:ilvl="0" w:tentative="0">
      <w:start w:val="1"/>
      <w:numFmt w:val="decimal"/>
      <w:pStyle w:val="187"/>
      <w:lvlText w:val="%1)"/>
      <w:lvlJc w:val="left"/>
      <w:pPr>
        <w:ind w:left="420" w:hanging="420"/>
      </w:pPr>
      <w:rPr>
        <w:rFonts w:hint="default"/>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9">
    <w:nsid w:val="00000016"/>
    <w:multiLevelType w:val="multilevel"/>
    <w:tmpl w:val="00000016"/>
    <w:lvl w:ilvl="0" w:tentative="0">
      <w:start w:val="1"/>
      <w:numFmt w:val="bullet"/>
      <w:lvlText w:val=""/>
      <w:lvlJc w:val="left"/>
      <w:pPr>
        <w:ind w:left="420" w:hanging="420"/>
      </w:pPr>
      <w:rPr>
        <w:rFonts w:hint="default" w:ascii="Wingdings" w:hAnsi="Wingdings"/>
      </w:rPr>
    </w:lvl>
    <w:lvl w:ilvl="1" w:tentative="0">
      <w:start w:val="1"/>
      <w:numFmt w:val="decimal"/>
      <w:pStyle w:val="343"/>
      <w:lvlText w:val="%2)"/>
      <w:lvlJc w:val="left"/>
      <w:pPr>
        <w:ind w:left="840" w:hanging="420"/>
      </w:pPr>
      <w:rPr>
        <w:rFonts w:hint="default"/>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0">
    <w:nsid w:val="00000017"/>
    <w:multiLevelType w:val="multilevel"/>
    <w:tmpl w:val="00000017"/>
    <w:lvl w:ilvl="0" w:tentative="0">
      <w:start w:val="1"/>
      <w:numFmt w:val="chineseCountingThousand"/>
      <w:suff w:val="nothing"/>
      <w:lvlText w:val="%1、"/>
      <w:lvlJc w:val="left"/>
      <w:pPr>
        <w:ind w:left="420" w:hanging="420"/>
      </w:pPr>
      <w:rPr>
        <w:rFonts w:hint="eastAsia"/>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1">
    <w:nsid w:val="0053208E"/>
    <w:multiLevelType w:val="singleLevel"/>
    <w:tmpl w:val="0053208E"/>
    <w:lvl w:ilvl="0" w:tentative="0">
      <w:start w:val="1"/>
      <w:numFmt w:val="decimal"/>
      <w:suff w:val="nothing"/>
      <w:lvlText w:val="%1、"/>
      <w:lvlJc w:val="left"/>
    </w:lvl>
  </w:abstractNum>
  <w:abstractNum w:abstractNumId="22">
    <w:nsid w:val="4E1F4426"/>
    <w:multiLevelType w:val="multilevel"/>
    <w:tmpl w:val="4E1F4426"/>
    <w:lvl w:ilvl="0" w:tentative="0">
      <w:start w:val="1"/>
      <w:numFmt w:val="decimalEnclosedParen"/>
      <w:lvlText w:val="%1"/>
      <w:lvlJc w:val="left"/>
      <w:pPr>
        <w:ind w:left="835" w:hanging="360"/>
      </w:pPr>
      <w:rPr>
        <w:rFonts w:hint="default"/>
      </w:rPr>
    </w:lvl>
    <w:lvl w:ilvl="1" w:tentative="0">
      <w:start w:val="1"/>
      <w:numFmt w:val="lowerLetter"/>
      <w:lvlText w:val="%2)"/>
      <w:lvlJc w:val="left"/>
      <w:pPr>
        <w:ind w:left="1315" w:hanging="420"/>
      </w:pPr>
    </w:lvl>
    <w:lvl w:ilvl="2" w:tentative="0">
      <w:start w:val="1"/>
      <w:numFmt w:val="lowerRoman"/>
      <w:lvlText w:val="%3."/>
      <w:lvlJc w:val="right"/>
      <w:pPr>
        <w:ind w:left="1735" w:hanging="420"/>
      </w:pPr>
    </w:lvl>
    <w:lvl w:ilvl="3" w:tentative="0">
      <w:start w:val="1"/>
      <w:numFmt w:val="decimal"/>
      <w:lvlText w:val="%4."/>
      <w:lvlJc w:val="left"/>
      <w:pPr>
        <w:ind w:left="2155" w:hanging="420"/>
      </w:pPr>
    </w:lvl>
    <w:lvl w:ilvl="4" w:tentative="0">
      <w:start w:val="1"/>
      <w:numFmt w:val="lowerLetter"/>
      <w:lvlText w:val="%5)"/>
      <w:lvlJc w:val="left"/>
      <w:pPr>
        <w:ind w:left="2575" w:hanging="420"/>
      </w:pPr>
    </w:lvl>
    <w:lvl w:ilvl="5" w:tentative="0">
      <w:start w:val="1"/>
      <w:numFmt w:val="lowerRoman"/>
      <w:lvlText w:val="%6."/>
      <w:lvlJc w:val="right"/>
      <w:pPr>
        <w:ind w:left="2995" w:hanging="420"/>
      </w:pPr>
    </w:lvl>
    <w:lvl w:ilvl="6" w:tentative="0">
      <w:start w:val="1"/>
      <w:numFmt w:val="decimal"/>
      <w:lvlText w:val="%7."/>
      <w:lvlJc w:val="left"/>
      <w:pPr>
        <w:ind w:left="3415" w:hanging="420"/>
      </w:pPr>
    </w:lvl>
    <w:lvl w:ilvl="7" w:tentative="0">
      <w:start w:val="1"/>
      <w:numFmt w:val="lowerLetter"/>
      <w:lvlText w:val="%8)"/>
      <w:lvlJc w:val="left"/>
      <w:pPr>
        <w:ind w:left="3835" w:hanging="420"/>
      </w:pPr>
    </w:lvl>
    <w:lvl w:ilvl="8" w:tentative="0">
      <w:start w:val="1"/>
      <w:numFmt w:val="lowerRoman"/>
      <w:lvlText w:val="%9."/>
      <w:lvlJc w:val="right"/>
      <w:pPr>
        <w:ind w:left="4255" w:hanging="420"/>
      </w:pPr>
    </w:lvl>
  </w:abstractNum>
  <w:abstractNum w:abstractNumId="23">
    <w:nsid w:val="72F2E3F5"/>
    <w:multiLevelType w:val="singleLevel"/>
    <w:tmpl w:val="72F2E3F5"/>
    <w:lvl w:ilvl="0" w:tentative="0">
      <w:start w:val="1"/>
      <w:numFmt w:val="decimal"/>
      <w:lvlText w:val="(%1)"/>
      <w:lvlJc w:val="left"/>
      <w:pPr>
        <w:tabs>
          <w:tab w:val="left" w:pos="312"/>
        </w:tabs>
      </w:pPr>
    </w:lvl>
  </w:abstractNum>
  <w:num w:numId="1">
    <w:abstractNumId w:val="17"/>
  </w:num>
  <w:num w:numId="2">
    <w:abstractNumId w:val="5"/>
  </w:num>
  <w:num w:numId="3">
    <w:abstractNumId w:val="2"/>
  </w:num>
  <w:num w:numId="4">
    <w:abstractNumId w:val="16"/>
  </w:num>
  <w:num w:numId="5">
    <w:abstractNumId w:val="14"/>
  </w:num>
  <w:num w:numId="6">
    <w:abstractNumId w:val="18"/>
  </w:num>
  <w:num w:numId="7">
    <w:abstractNumId w:val="0"/>
  </w:num>
  <w:num w:numId="8">
    <w:abstractNumId w:val="12"/>
  </w:num>
  <w:num w:numId="9">
    <w:abstractNumId w:val="15"/>
  </w:num>
  <w:num w:numId="10">
    <w:abstractNumId w:val="6"/>
  </w:num>
  <w:num w:numId="11">
    <w:abstractNumId w:val="8"/>
  </w:num>
  <w:num w:numId="12">
    <w:abstractNumId w:val="10"/>
  </w:num>
  <w:num w:numId="13">
    <w:abstractNumId w:val="13"/>
  </w:num>
  <w:num w:numId="14">
    <w:abstractNumId w:val="9"/>
  </w:num>
  <w:num w:numId="15">
    <w:abstractNumId w:val="1"/>
  </w:num>
  <w:num w:numId="16">
    <w:abstractNumId w:val="7"/>
  </w:num>
  <w:num w:numId="17">
    <w:abstractNumId w:val="11"/>
  </w:num>
  <w:num w:numId="18">
    <w:abstractNumId w:val="3"/>
  </w:num>
  <w:num w:numId="19">
    <w:abstractNumId w:val="19"/>
  </w:num>
  <w:num w:numId="20">
    <w:abstractNumId w:val="21"/>
  </w:num>
  <w:num w:numId="21">
    <w:abstractNumId w:val="20"/>
  </w:num>
  <w:num w:numId="22">
    <w:abstractNumId w:val="4"/>
  </w:num>
  <w:num w:numId="23">
    <w:abstractNumId w:val="22"/>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6A0"/>
    <w:rsid w:val="00057B5F"/>
    <w:rsid w:val="002813E9"/>
    <w:rsid w:val="00303131"/>
    <w:rsid w:val="00484D38"/>
    <w:rsid w:val="004E7437"/>
    <w:rsid w:val="005336A0"/>
    <w:rsid w:val="005872D6"/>
    <w:rsid w:val="005A1509"/>
    <w:rsid w:val="00620A7A"/>
    <w:rsid w:val="007602F8"/>
    <w:rsid w:val="00CA56F6"/>
    <w:rsid w:val="00DC4FB2"/>
    <w:rsid w:val="00E16BA0"/>
    <w:rsid w:val="00F638A1"/>
    <w:rsid w:val="04DC4690"/>
    <w:rsid w:val="0552559E"/>
    <w:rsid w:val="0EE943E6"/>
    <w:rsid w:val="10716991"/>
    <w:rsid w:val="13027FE2"/>
    <w:rsid w:val="15FC6940"/>
    <w:rsid w:val="1DCF6F72"/>
    <w:rsid w:val="287D2358"/>
    <w:rsid w:val="29D84EED"/>
    <w:rsid w:val="35632DD8"/>
    <w:rsid w:val="3B2354DC"/>
    <w:rsid w:val="42D618F1"/>
    <w:rsid w:val="4B3D6AD7"/>
    <w:rsid w:val="57AF2B0B"/>
    <w:rsid w:val="6CBA7B30"/>
    <w:rsid w:val="786A065C"/>
    <w:rsid w:val="7A43454B"/>
    <w:rsid w:val="7DCF622D"/>
    <w:rsid w:val="7ECD65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accent1" w:t1="dark1" w:bg2="accent1"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link w:val="95"/>
    <w:qFormat/>
    <w:uiPriority w:val="0"/>
    <w:pPr>
      <w:keepNext/>
      <w:keepLines/>
      <w:spacing w:before="340" w:after="330" w:line="576" w:lineRule="auto"/>
      <w:ind w:left="420" w:hanging="420"/>
      <w:outlineLvl w:val="0"/>
    </w:pPr>
    <w:rPr>
      <w:b/>
      <w:bCs/>
      <w:kern w:val="44"/>
      <w:sz w:val="44"/>
      <w:szCs w:val="44"/>
    </w:rPr>
  </w:style>
  <w:style w:type="paragraph" w:styleId="4">
    <w:name w:val="heading 2"/>
    <w:basedOn w:val="1"/>
    <w:link w:val="101"/>
    <w:qFormat/>
    <w:uiPriority w:val="0"/>
    <w:pPr>
      <w:spacing w:line="360" w:lineRule="auto"/>
      <w:ind w:left="420" w:hanging="420"/>
      <w:outlineLvl w:val="1"/>
    </w:pPr>
    <w:rPr>
      <w:rFonts w:ascii="Arial" w:hAnsi="Arial"/>
      <w:b/>
      <w:bCs/>
      <w:sz w:val="28"/>
      <w:szCs w:val="32"/>
    </w:rPr>
  </w:style>
  <w:style w:type="paragraph" w:styleId="5">
    <w:name w:val="heading 3"/>
    <w:basedOn w:val="1"/>
    <w:link w:val="100"/>
    <w:qFormat/>
    <w:uiPriority w:val="0"/>
    <w:pPr>
      <w:numPr>
        <w:ilvl w:val="2"/>
        <w:numId w:val="1"/>
      </w:numPr>
      <w:spacing w:line="360" w:lineRule="auto"/>
      <w:outlineLvl w:val="2"/>
    </w:pPr>
    <w:rPr>
      <w:rFonts w:ascii="宋体" w:hAnsi="宋体" w:cs="宋体"/>
      <w:b/>
      <w:bCs/>
      <w:sz w:val="24"/>
    </w:rPr>
  </w:style>
  <w:style w:type="paragraph" w:styleId="6">
    <w:name w:val="heading 4"/>
    <w:basedOn w:val="1"/>
    <w:link w:val="74"/>
    <w:qFormat/>
    <w:uiPriority w:val="0"/>
    <w:pPr>
      <w:spacing w:line="360" w:lineRule="auto"/>
      <w:ind w:left="1680" w:hanging="420"/>
      <w:outlineLvl w:val="3"/>
    </w:pPr>
    <w:rPr>
      <w:rFonts w:ascii="宋体" w:hAnsi="宋体" w:cs="宋体"/>
      <w:b/>
      <w:bCs/>
      <w:sz w:val="24"/>
    </w:rPr>
  </w:style>
  <w:style w:type="paragraph" w:styleId="7">
    <w:name w:val="heading 5"/>
    <w:basedOn w:val="1"/>
    <w:link w:val="202"/>
    <w:qFormat/>
    <w:uiPriority w:val="0"/>
    <w:pPr>
      <w:keepNext/>
      <w:keepLines/>
      <w:spacing w:before="280" w:after="290" w:line="372" w:lineRule="auto"/>
      <w:ind w:left="2100" w:hanging="420"/>
      <w:outlineLvl w:val="4"/>
    </w:pPr>
    <w:rPr>
      <w:b/>
      <w:sz w:val="24"/>
    </w:rPr>
  </w:style>
  <w:style w:type="paragraph" w:styleId="8">
    <w:name w:val="heading 6"/>
    <w:basedOn w:val="1"/>
    <w:link w:val="203"/>
    <w:qFormat/>
    <w:uiPriority w:val="0"/>
    <w:pPr>
      <w:keepNext/>
      <w:keepLines/>
      <w:widowControl/>
      <w:tabs>
        <w:tab w:val="left" w:pos="1440"/>
      </w:tabs>
      <w:spacing w:before="240" w:after="64" w:line="316" w:lineRule="auto"/>
      <w:ind w:left="2520" w:hanging="420"/>
      <w:jc w:val="left"/>
      <w:outlineLvl w:val="5"/>
    </w:pPr>
    <w:rPr>
      <w:rFonts w:ascii="Arial" w:hAnsi="Arial" w:eastAsia="黑体"/>
      <w:b/>
      <w:bCs/>
      <w:kern w:val="0"/>
      <w:sz w:val="24"/>
    </w:rPr>
  </w:style>
  <w:style w:type="paragraph" w:styleId="9">
    <w:name w:val="heading 7"/>
    <w:basedOn w:val="1"/>
    <w:link w:val="204"/>
    <w:qFormat/>
    <w:uiPriority w:val="0"/>
    <w:pPr>
      <w:keepNext/>
      <w:keepLines/>
      <w:widowControl/>
      <w:tabs>
        <w:tab w:val="left" w:pos="2520"/>
      </w:tabs>
      <w:spacing w:before="240" w:after="64" w:line="316" w:lineRule="auto"/>
      <w:ind w:left="2940" w:hanging="420"/>
      <w:jc w:val="left"/>
      <w:outlineLvl w:val="6"/>
    </w:pPr>
    <w:rPr>
      <w:b/>
      <w:bCs/>
      <w:kern w:val="0"/>
      <w:sz w:val="24"/>
    </w:rPr>
  </w:style>
  <w:style w:type="paragraph" w:styleId="10">
    <w:name w:val="heading 8"/>
    <w:basedOn w:val="1"/>
    <w:link w:val="205"/>
    <w:qFormat/>
    <w:uiPriority w:val="0"/>
    <w:pPr>
      <w:keepNext/>
      <w:keepLines/>
      <w:widowControl/>
      <w:tabs>
        <w:tab w:val="left" w:pos="1440"/>
      </w:tabs>
      <w:spacing w:before="240" w:after="64" w:line="316" w:lineRule="auto"/>
      <w:ind w:left="3360" w:hanging="420"/>
      <w:jc w:val="left"/>
      <w:outlineLvl w:val="7"/>
    </w:pPr>
    <w:rPr>
      <w:rFonts w:ascii="Arial" w:hAnsi="Arial" w:eastAsia="黑体"/>
      <w:kern w:val="0"/>
      <w:sz w:val="24"/>
    </w:rPr>
  </w:style>
  <w:style w:type="paragraph" w:styleId="11">
    <w:name w:val="heading 9"/>
    <w:basedOn w:val="1"/>
    <w:link w:val="206"/>
    <w:qFormat/>
    <w:uiPriority w:val="0"/>
    <w:pPr>
      <w:keepNext/>
      <w:keepLines/>
      <w:widowControl/>
      <w:tabs>
        <w:tab w:val="left" w:pos="1584"/>
      </w:tabs>
      <w:spacing w:before="240" w:after="64" w:line="316" w:lineRule="auto"/>
      <w:ind w:left="3780" w:hanging="420"/>
      <w:jc w:val="left"/>
      <w:outlineLvl w:val="8"/>
    </w:pPr>
    <w:rPr>
      <w:rFonts w:ascii="Arial" w:hAnsi="Arial" w:eastAsia="黑体"/>
      <w:kern w:val="0"/>
      <w:szCs w:val="21"/>
    </w:rPr>
  </w:style>
  <w:style w:type="character" w:default="1" w:styleId="53">
    <w:name w:val="Default Paragraph Font"/>
    <w:semiHidden/>
    <w:unhideWhenUsed/>
    <w:qFormat/>
    <w:uiPriority w:val="1"/>
  </w:style>
  <w:style w:type="table" w:default="1" w:styleId="5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159"/>
    <w:qFormat/>
    <w:uiPriority w:val="0"/>
    <w:pPr>
      <w:ind w:firstLine="200" w:firstLineChars="200"/>
    </w:pPr>
  </w:style>
  <w:style w:type="paragraph" w:styleId="12">
    <w:name w:val="toc 7"/>
    <w:basedOn w:val="1"/>
    <w:qFormat/>
    <w:uiPriority w:val="0"/>
    <w:pPr>
      <w:tabs>
        <w:tab w:val="left" w:pos="360"/>
      </w:tabs>
      <w:ind w:left="1200" w:leftChars="1200"/>
    </w:pPr>
  </w:style>
  <w:style w:type="paragraph" w:styleId="13">
    <w:name w:val="List Number 2"/>
    <w:basedOn w:val="1"/>
    <w:qFormat/>
    <w:uiPriority w:val="0"/>
    <w:pPr>
      <w:widowControl/>
      <w:numPr>
        <w:ilvl w:val="0"/>
        <w:numId w:val="2"/>
      </w:numPr>
      <w:shd w:val="clear" w:color="auto" w:fill="FFFFFF"/>
      <w:tabs>
        <w:tab w:val="left" w:pos="426"/>
        <w:tab w:val="left" w:pos="820"/>
      </w:tabs>
      <w:adjustRightInd w:val="0"/>
      <w:snapToGrid w:val="0"/>
      <w:spacing w:afterLines="50" w:line="360" w:lineRule="auto"/>
    </w:pPr>
    <w:rPr>
      <w:rFonts w:ascii="宋体" w:hAnsi="宋体" w:cs="宋体"/>
      <w:kern w:val="0"/>
      <w:sz w:val="24"/>
      <w:szCs w:val="20"/>
    </w:rPr>
  </w:style>
  <w:style w:type="paragraph" w:styleId="14">
    <w:name w:val="index 8"/>
    <w:basedOn w:val="1"/>
    <w:qFormat/>
    <w:uiPriority w:val="0"/>
    <w:pPr>
      <w:ind w:left="1400" w:leftChars="1400"/>
    </w:pPr>
    <w:rPr>
      <w:rFonts w:ascii="Times New Roman" w:hAnsi="Times New Roman"/>
    </w:rPr>
  </w:style>
  <w:style w:type="paragraph" w:styleId="15">
    <w:name w:val="caption"/>
    <w:basedOn w:val="1"/>
    <w:qFormat/>
    <w:uiPriority w:val="0"/>
    <w:pPr>
      <w:widowControl/>
      <w:shd w:val="clear" w:color="auto" w:fill="FFFFFF"/>
      <w:tabs>
        <w:tab w:val="left" w:pos="426"/>
      </w:tabs>
      <w:adjustRightInd w:val="0"/>
      <w:snapToGrid w:val="0"/>
      <w:spacing w:line="360" w:lineRule="auto"/>
    </w:pPr>
    <w:rPr>
      <w:rFonts w:ascii="Arial" w:hAnsi="Arial" w:eastAsia="黑体" w:cs="Arial"/>
      <w:kern w:val="0"/>
      <w:sz w:val="20"/>
      <w:szCs w:val="20"/>
    </w:rPr>
  </w:style>
  <w:style w:type="paragraph" w:styleId="16">
    <w:name w:val="List Bullet"/>
    <w:basedOn w:val="1"/>
    <w:qFormat/>
    <w:uiPriority w:val="0"/>
    <w:pPr>
      <w:widowControl/>
      <w:shd w:val="clear" w:color="auto" w:fill="FFFFFF"/>
      <w:tabs>
        <w:tab w:val="left" w:pos="360"/>
        <w:tab w:val="left" w:pos="426"/>
      </w:tabs>
      <w:adjustRightInd w:val="0"/>
      <w:snapToGrid w:val="0"/>
      <w:spacing w:line="360" w:lineRule="auto"/>
      <w:ind w:left="360" w:hanging="360" w:hangingChars="200"/>
    </w:pPr>
    <w:rPr>
      <w:rFonts w:ascii="宋体" w:hAnsi="宋体" w:cs="宋体"/>
      <w:kern w:val="0"/>
      <w:szCs w:val="20"/>
    </w:rPr>
  </w:style>
  <w:style w:type="paragraph" w:styleId="17">
    <w:name w:val="Document Map"/>
    <w:basedOn w:val="1"/>
    <w:link w:val="85"/>
    <w:qFormat/>
    <w:uiPriority w:val="0"/>
    <w:rPr>
      <w:rFonts w:ascii="宋体"/>
      <w:sz w:val="18"/>
      <w:szCs w:val="18"/>
    </w:rPr>
  </w:style>
  <w:style w:type="paragraph" w:styleId="18">
    <w:name w:val="toa heading"/>
    <w:basedOn w:val="1"/>
    <w:qFormat/>
    <w:uiPriority w:val="0"/>
    <w:pPr>
      <w:widowControl/>
      <w:shd w:val="clear" w:color="auto" w:fill="FFFFFF"/>
      <w:tabs>
        <w:tab w:val="left" w:pos="426"/>
      </w:tabs>
      <w:adjustRightInd w:val="0"/>
      <w:snapToGrid w:val="0"/>
      <w:spacing w:before="120" w:line="360" w:lineRule="auto"/>
    </w:pPr>
    <w:rPr>
      <w:rFonts w:ascii="Arial" w:hAnsi="Arial" w:cs="宋体"/>
      <w:kern w:val="0"/>
      <w:sz w:val="24"/>
      <w:szCs w:val="20"/>
    </w:rPr>
  </w:style>
  <w:style w:type="paragraph" w:styleId="19">
    <w:name w:val="annotation text"/>
    <w:basedOn w:val="1"/>
    <w:link w:val="154"/>
    <w:qFormat/>
    <w:uiPriority w:val="0"/>
    <w:pPr>
      <w:jc w:val="left"/>
    </w:pPr>
    <w:rPr>
      <w:sz w:val="24"/>
    </w:rPr>
  </w:style>
  <w:style w:type="paragraph" w:styleId="20">
    <w:name w:val="Body Text 3"/>
    <w:basedOn w:val="1"/>
    <w:link w:val="81"/>
    <w:qFormat/>
    <w:uiPriority w:val="0"/>
    <w:pPr>
      <w:spacing w:line="500" w:lineRule="exact"/>
    </w:pPr>
    <w:rPr>
      <w:b/>
      <w:bCs/>
      <w:sz w:val="24"/>
    </w:rPr>
  </w:style>
  <w:style w:type="paragraph" w:styleId="21">
    <w:name w:val="Body Text"/>
    <w:basedOn w:val="1"/>
    <w:link w:val="82"/>
    <w:qFormat/>
    <w:uiPriority w:val="0"/>
    <w:pPr>
      <w:spacing w:after="120"/>
    </w:pPr>
    <w:rPr>
      <w:rFonts w:ascii="宋体" w:hAnsi="宋体"/>
      <w:sz w:val="24"/>
    </w:rPr>
  </w:style>
  <w:style w:type="paragraph" w:styleId="22">
    <w:name w:val="Body Text Indent"/>
    <w:basedOn w:val="1"/>
    <w:link w:val="68"/>
    <w:qFormat/>
    <w:uiPriority w:val="0"/>
    <w:pPr>
      <w:spacing w:after="120"/>
      <w:ind w:left="200" w:leftChars="200"/>
    </w:pPr>
  </w:style>
  <w:style w:type="paragraph" w:styleId="23">
    <w:name w:val="Block Text"/>
    <w:basedOn w:val="1"/>
    <w:qFormat/>
    <w:uiPriority w:val="0"/>
    <w:pPr>
      <w:adjustRightInd w:val="0"/>
      <w:ind w:left="420" w:right="33"/>
      <w:jc w:val="left"/>
    </w:pPr>
    <w:rPr>
      <w:kern w:val="0"/>
      <w:sz w:val="24"/>
      <w:szCs w:val="20"/>
    </w:rPr>
  </w:style>
  <w:style w:type="paragraph" w:styleId="24">
    <w:name w:val="toc 5"/>
    <w:basedOn w:val="1"/>
    <w:qFormat/>
    <w:uiPriority w:val="0"/>
    <w:pPr>
      <w:ind w:left="800" w:leftChars="800"/>
    </w:pPr>
  </w:style>
  <w:style w:type="paragraph" w:styleId="25">
    <w:name w:val="toc 3"/>
    <w:basedOn w:val="1"/>
    <w:qFormat/>
    <w:uiPriority w:val="39"/>
    <w:pPr>
      <w:ind w:left="400" w:leftChars="400"/>
    </w:pPr>
  </w:style>
  <w:style w:type="paragraph" w:styleId="26">
    <w:name w:val="Plain Text"/>
    <w:basedOn w:val="1"/>
    <w:link w:val="87"/>
    <w:qFormat/>
    <w:uiPriority w:val="0"/>
    <w:rPr>
      <w:rFonts w:ascii="宋体" w:hAnsi="Courier New"/>
      <w:szCs w:val="21"/>
    </w:rPr>
  </w:style>
  <w:style w:type="paragraph" w:styleId="27">
    <w:name w:val="toc 8"/>
    <w:basedOn w:val="1"/>
    <w:qFormat/>
    <w:uiPriority w:val="0"/>
    <w:pPr>
      <w:ind w:left="1400" w:leftChars="1400"/>
    </w:pPr>
  </w:style>
  <w:style w:type="paragraph" w:styleId="28">
    <w:name w:val="Date"/>
    <w:basedOn w:val="1"/>
    <w:link w:val="78"/>
    <w:qFormat/>
    <w:uiPriority w:val="0"/>
    <w:pPr>
      <w:ind w:left="2500" w:leftChars="2500"/>
    </w:pPr>
  </w:style>
  <w:style w:type="paragraph" w:styleId="29">
    <w:name w:val="Body Text Indent 2"/>
    <w:basedOn w:val="1"/>
    <w:link w:val="79"/>
    <w:qFormat/>
    <w:uiPriority w:val="0"/>
    <w:pPr>
      <w:spacing w:after="120" w:line="480" w:lineRule="auto"/>
      <w:ind w:left="420" w:leftChars="200"/>
    </w:pPr>
  </w:style>
  <w:style w:type="paragraph" w:styleId="30">
    <w:name w:val="Balloon Text"/>
    <w:basedOn w:val="1"/>
    <w:link w:val="196"/>
    <w:qFormat/>
    <w:uiPriority w:val="99"/>
    <w:rPr>
      <w:sz w:val="18"/>
      <w:szCs w:val="18"/>
    </w:rPr>
  </w:style>
  <w:style w:type="paragraph" w:styleId="31">
    <w:name w:val="footer"/>
    <w:basedOn w:val="1"/>
    <w:link w:val="92"/>
    <w:qFormat/>
    <w:uiPriority w:val="99"/>
    <w:pPr>
      <w:tabs>
        <w:tab w:val="center" w:pos="4153"/>
        <w:tab w:val="right" w:pos="8306"/>
      </w:tabs>
      <w:snapToGrid w:val="0"/>
      <w:jc w:val="left"/>
    </w:pPr>
    <w:rPr>
      <w:rFonts w:ascii="宋体" w:hAnsi="宋体"/>
      <w:sz w:val="18"/>
      <w:szCs w:val="18"/>
    </w:rPr>
  </w:style>
  <w:style w:type="paragraph" w:styleId="32">
    <w:name w:val="envelope return"/>
    <w:basedOn w:val="1"/>
    <w:qFormat/>
    <w:uiPriority w:val="0"/>
    <w:pPr>
      <w:snapToGrid w:val="0"/>
    </w:pPr>
    <w:rPr>
      <w:rFonts w:ascii="Arial" w:hAnsi="Arial"/>
    </w:rPr>
  </w:style>
  <w:style w:type="paragraph" w:styleId="33">
    <w:name w:val="header"/>
    <w:basedOn w:val="1"/>
    <w:link w:val="88"/>
    <w:qFormat/>
    <w:uiPriority w:val="0"/>
    <w:pPr>
      <w:pBdr>
        <w:bottom w:val="single" w:color="auto" w:sz="6" w:space="1"/>
      </w:pBdr>
      <w:tabs>
        <w:tab w:val="center" w:pos="4153"/>
        <w:tab w:val="right" w:pos="8306"/>
      </w:tabs>
      <w:snapToGrid w:val="0"/>
      <w:jc w:val="center"/>
    </w:pPr>
    <w:rPr>
      <w:sz w:val="18"/>
      <w:szCs w:val="18"/>
    </w:rPr>
  </w:style>
  <w:style w:type="paragraph" w:styleId="34">
    <w:name w:val="toc 1"/>
    <w:basedOn w:val="1"/>
    <w:qFormat/>
    <w:uiPriority w:val="39"/>
  </w:style>
  <w:style w:type="paragraph" w:styleId="35">
    <w:name w:val="toc 4"/>
    <w:basedOn w:val="1"/>
    <w:qFormat/>
    <w:uiPriority w:val="0"/>
    <w:pPr>
      <w:ind w:left="600" w:leftChars="600"/>
    </w:pPr>
  </w:style>
  <w:style w:type="paragraph" w:styleId="36">
    <w:name w:val="index heading"/>
    <w:basedOn w:val="1"/>
    <w:qFormat/>
    <w:uiPriority w:val="0"/>
  </w:style>
  <w:style w:type="paragraph" w:styleId="37">
    <w:name w:val="Subtitle"/>
    <w:basedOn w:val="1"/>
    <w:link w:val="173"/>
    <w:qFormat/>
    <w:uiPriority w:val="0"/>
    <w:pPr>
      <w:widowControl/>
      <w:shd w:val="clear" w:color="auto" w:fill="FFFFFF"/>
      <w:tabs>
        <w:tab w:val="left" w:pos="426"/>
      </w:tabs>
      <w:adjustRightInd w:val="0"/>
      <w:snapToGrid w:val="0"/>
      <w:spacing w:before="240" w:after="60" w:line="312" w:lineRule="auto"/>
      <w:jc w:val="center"/>
      <w:outlineLvl w:val="1"/>
    </w:pPr>
    <w:rPr>
      <w:rFonts w:ascii="Cambria" w:hAnsi="Cambria"/>
      <w:b/>
      <w:bCs/>
      <w:kern w:val="28"/>
      <w:sz w:val="28"/>
      <w:szCs w:val="32"/>
    </w:rPr>
  </w:style>
  <w:style w:type="paragraph" w:styleId="38">
    <w:name w:val="footnote text"/>
    <w:basedOn w:val="1"/>
    <w:qFormat/>
    <w:uiPriority w:val="0"/>
    <w:rPr>
      <w:sz w:val="20"/>
      <w:szCs w:val="20"/>
    </w:rPr>
  </w:style>
  <w:style w:type="paragraph" w:styleId="39">
    <w:name w:val="toc 6"/>
    <w:basedOn w:val="1"/>
    <w:qFormat/>
    <w:uiPriority w:val="0"/>
    <w:pPr>
      <w:ind w:left="1000" w:leftChars="1000"/>
    </w:pPr>
  </w:style>
  <w:style w:type="paragraph" w:styleId="40">
    <w:name w:val="Body Text Indent 3"/>
    <w:basedOn w:val="1"/>
    <w:link w:val="93"/>
    <w:qFormat/>
    <w:uiPriority w:val="0"/>
    <w:pPr>
      <w:ind w:firstLine="480" w:firstLineChars="200"/>
    </w:pPr>
    <w:rPr>
      <w:color w:val="FF0000"/>
      <w:sz w:val="24"/>
    </w:rPr>
  </w:style>
  <w:style w:type="paragraph" w:styleId="41">
    <w:name w:val="toc 2"/>
    <w:basedOn w:val="1"/>
    <w:qFormat/>
    <w:uiPriority w:val="39"/>
    <w:pPr>
      <w:ind w:left="200" w:leftChars="200"/>
    </w:pPr>
  </w:style>
  <w:style w:type="paragraph" w:styleId="42">
    <w:name w:val="toc 9"/>
    <w:basedOn w:val="1"/>
    <w:qFormat/>
    <w:uiPriority w:val="0"/>
    <w:pPr>
      <w:ind w:left="1600" w:leftChars="1600"/>
    </w:pPr>
  </w:style>
  <w:style w:type="paragraph" w:styleId="43">
    <w:name w:val="Body Text 2"/>
    <w:basedOn w:val="1"/>
    <w:link w:val="75"/>
    <w:qFormat/>
    <w:uiPriority w:val="0"/>
    <w:rPr>
      <w:sz w:val="24"/>
    </w:rPr>
  </w:style>
  <w:style w:type="paragraph" w:styleId="44">
    <w:name w:val="HTML Preformatted"/>
    <w:basedOn w:val="1"/>
    <w:link w:val="160"/>
    <w:qFormat/>
    <w:uiPriority w:val="0"/>
    <w:pPr>
      <w:widowControl/>
      <w:shd w:val="clear" w:color="auto" w:fill="FFFFFF"/>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60" w:lineRule="auto"/>
      <w:jc w:val="left"/>
    </w:pPr>
    <w:rPr>
      <w:rFonts w:ascii="Arial Unicode MS" w:hAnsi="Arial Unicode MS" w:eastAsia="Arial Unicode MS"/>
      <w:color w:val="000000"/>
      <w:kern w:val="0"/>
      <w:sz w:val="20"/>
      <w:szCs w:val="20"/>
    </w:rPr>
  </w:style>
  <w:style w:type="paragraph" w:styleId="45">
    <w:name w:val="Normal (Web)"/>
    <w:basedOn w:val="1"/>
    <w:qFormat/>
    <w:uiPriority w:val="0"/>
    <w:pPr>
      <w:widowControl/>
      <w:spacing w:before="100" w:beforeAutospacing="1" w:after="100" w:afterAutospacing="1"/>
      <w:jc w:val="left"/>
    </w:pPr>
    <w:rPr>
      <w:rFonts w:hint="eastAsia" w:ascii="宋体" w:hAnsi="宋体"/>
      <w:kern w:val="0"/>
      <w:sz w:val="24"/>
    </w:rPr>
  </w:style>
  <w:style w:type="paragraph" w:styleId="46">
    <w:name w:val="index 1"/>
    <w:basedOn w:val="1"/>
    <w:qFormat/>
    <w:uiPriority w:val="99"/>
    <w:rPr>
      <w:rFonts w:ascii="宋体"/>
      <w:b/>
      <w:bCs/>
    </w:rPr>
  </w:style>
  <w:style w:type="paragraph" w:styleId="47">
    <w:name w:val="Title"/>
    <w:basedOn w:val="1"/>
    <w:link w:val="220"/>
    <w:qFormat/>
    <w:uiPriority w:val="0"/>
    <w:pPr>
      <w:tabs>
        <w:tab w:val="left" w:pos="360"/>
      </w:tabs>
      <w:adjustRightInd w:val="0"/>
      <w:spacing w:before="240" w:after="60" w:line="420" w:lineRule="atLeast"/>
      <w:jc w:val="center"/>
      <w:outlineLvl w:val="0"/>
    </w:pPr>
    <w:rPr>
      <w:rFonts w:ascii="Arial" w:hAnsi="Arial"/>
      <w:b/>
      <w:kern w:val="0"/>
      <w:sz w:val="20"/>
      <w:szCs w:val="20"/>
    </w:rPr>
  </w:style>
  <w:style w:type="paragraph" w:styleId="48">
    <w:name w:val="annotation subject"/>
    <w:basedOn w:val="19"/>
    <w:link w:val="156"/>
    <w:qFormat/>
    <w:uiPriority w:val="0"/>
    <w:rPr>
      <w:b/>
      <w:bCs/>
      <w:sz w:val="21"/>
    </w:rPr>
  </w:style>
  <w:style w:type="paragraph" w:styleId="49">
    <w:name w:val="Body Text First Indent 2"/>
    <w:basedOn w:val="22"/>
    <w:qFormat/>
    <w:uiPriority w:val="0"/>
    <w:pPr>
      <w:spacing w:before="100" w:beforeAutospacing="1"/>
      <w:ind w:firstLine="420" w:firstLineChars="200"/>
    </w:pPr>
    <w:rPr>
      <w:rFonts w:ascii="Verdana" w:hAnsi="Verdana"/>
      <w:kern w:val="0"/>
      <w:lang w:eastAsia="en-US"/>
    </w:rPr>
  </w:style>
  <w:style w:type="table" w:styleId="51">
    <w:name w:val="Table Grid"/>
    <w:basedOn w:val="5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52">
    <w:name w:val="Table Theme"/>
    <w:basedOn w:val="5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4">
    <w:name w:val="Strong"/>
    <w:qFormat/>
    <w:uiPriority w:val="0"/>
    <w:rPr>
      <w:b/>
      <w:vanish/>
    </w:rPr>
  </w:style>
  <w:style w:type="character" w:styleId="55">
    <w:name w:val="page number"/>
    <w:basedOn w:val="53"/>
    <w:qFormat/>
    <w:uiPriority w:val="0"/>
    <w:rPr>
      <w:rFonts w:hint="default" w:ascii="Times New Roman" w:hAnsi="Times New Roman" w:cs="Times New Roman"/>
      <w:lang w:bidi="ar-SA"/>
    </w:rPr>
  </w:style>
  <w:style w:type="character" w:styleId="56">
    <w:name w:val="FollowedHyperlink"/>
    <w:qFormat/>
    <w:uiPriority w:val="0"/>
    <w:rPr>
      <w:rFonts w:hint="default" w:ascii="Times New Roman" w:hAnsi="Times New Roman" w:cs="Times New Roman"/>
      <w:color w:val="800080"/>
      <w:u w:val="single"/>
      <w:lang w:bidi="ar-SA"/>
    </w:rPr>
  </w:style>
  <w:style w:type="character" w:styleId="57">
    <w:name w:val="Emphasis"/>
    <w:qFormat/>
    <w:uiPriority w:val="0"/>
  </w:style>
  <w:style w:type="character" w:styleId="58">
    <w:name w:val="HTML Definition"/>
    <w:qFormat/>
    <w:uiPriority w:val="0"/>
  </w:style>
  <w:style w:type="character" w:styleId="59">
    <w:name w:val="HTML Variable"/>
    <w:qFormat/>
    <w:uiPriority w:val="0"/>
  </w:style>
  <w:style w:type="character" w:styleId="60">
    <w:name w:val="Hyperlink"/>
    <w:qFormat/>
    <w:uiPriority w:val="99"/>
    <w:rPr>
      <w:rFonts w:hint="default" w:ascii="Times New Roman" w:hAnsi="Times New Roman" w:cs="Times New Roman"/>
      <w:color w:val="0000FF"/>
      <w:u w:val="single"/>
      <w:lang w:bidi="ar-SA"/>
    </w:rPr>
  </w:style>
  <w:style w:type="character" w:styleId="61">
    <w:name w:val="HTML Code"/>
    <w:qFormat/>
    <w:uiPriority w:val="0"/>
    <w:rPr>
      <w:rFonts w:hint="default" w:ascii="serif" w:hAnsi="serif" w:eastAsia="serif" w:cs="serif"/>
      <w:sz w:val="21"/>
      <w:szCs w:val="21"/>
    </w:rPr>
  </w:style>
  <w:style w:type="character" w:styleId="62">
    <w:name w:val="annotation reference"/>
    <w:qFormat/>
    <w:uiPriority w:val="99"/>
    <w:rPr>
      <w:rFonts w:cs="Times New Roman"/>
      <w:sz w:val="21"/>
      <w:szCs w:val="21"/>
    </w:rPr>
  </w:style>
  <w:style w:type="character" w:styleId="63">
    <w:name w:val="HTML Cite"/>
    <w:qFormat/>
    <w:uiPriority w:val="0"/>
  </w:style>
  <w:style w:type="character" w:styleId="64">
    <w:name w:val="footnote reference"/>
    <w:qFormat/>
    <w:uiPriority w:val="0"/>
    <w:rPr>
      <w:rFonts w:hint="default" w:ascii="Times New Roman" w:hAnsi="Times New Roman" w:cs="Times New Roman"/>
      <w:vertAlign w:val="superscript"/>
      <w:lang w:bidi="ar-SA"/>
    </w:rPr>
  </w:style>
  <w:style w:type="character" w:styleId="65">
    <w:name w:val="HTML Keyboard"/>
    <w:qFormat/>
    <w:uiPriority w:val="0"/>
    <w:rPr>
      <w:rFonts w:hint="default" w:ascii="serif" w:hAnsi="serif" w:eastAsia="serif" w:cs="serif"/>
      <w:sz w:val="21"/>
      <w:szCs w:val="21"/>
    </w:rPr>
  </w:style>
  <w:style w:type="character" w:styleId="66">
    <w:name w:val="HTML Sample"/>
    <w:qFormat/>
    <w:uiPriority w:val="0"/>
    <w:rPr>
      <w:rFonts w:ascii="serif" w:hAnsi="serif" w:eastAsia="serif" w:cs="serif"/>
      <w:sz w:val="21"/>
      <w:szCs w:val="21"/>
    </w:rPr>
  </w:style>
  <w:style w:type="paragraph" w:customStyle="1" w:styleId="67">
    <w:name w:val="样式 4 10 磅2"/>
    <w:qFormat/>
    <w:uiPriority w:val="0"/>
    <w:pPr>
      <w:widowControl w:val="0"/>
      <w:jc w:val="both"/>
    </w:pPr>
    <w:rPr>
      <w:rFonts w:ascii="等线" w:hAnsi="Times New Roman" w:eastAsia="等线" w:cs="Times New Roman"/>
      <w:kern w:val="2"/>
      <w:sz w:val="21"/>
      <w:szCs w:val="22"/>
      <w:lang w:val="en-US" w:eastAsia="zh-CN" w:bidi="ar-SA"/>
    </w:rPr>
  </w:style>
  <w:style w:type="character" w:customStyle="1" w:styleId="68">
    <w:name w:val="正文文本缩进 Char"/>
    <w:link w:val="22"/>
    <w:qFormat/>
    <w:uiPriority w:val="0"/>
    <w:rPr>
      <w:kern w:val="2"/>
      <w:sz w:val="21"/>
      <w:szCs w:val="24"/>
    </w:rPr>
  </w:style>
  <w:style w:type="character" w:customStyle="1" w:styleId="69">
    <w:name w:val="fontborder"/>
    <w:qFormat/>
    <w:uiPriority w:val="0"/>
    <w:rPr>
      <w:bdr w:val="single" w:color="000000" w:sz="6" w:space="0"/>
    </w:rPr>
  </w:style>
  <w:style w:type="character" w:customStyle="1" w:styleId="70">
    <w:name w:val="纯文本 Char"/>
    <w:qFormat/>
    <w:uiPriority w:val="0"/>
    <w:rPr>
      <w:rFonts w:ascii="宋体" w:hAnsi="Courier New" w:cs="Courier New"/>
      <w:kern w:val="2"/>
      <w:sz w:val="21"/>
      <w:szCs w:val="21"/>
    </w:rPr>
  </w:style>
  <w:style w:type="character" w:customStyle="1" w:styleId="71">
    <w:name w:val="font11"/>
    <w:qFormat/>
    <w:uiPriority w:val="0"/>
    <w:rPr>
      <w:rFonts w:hint="eastAsia" w:ascii="宋体" w:hAnsi="宋体" w:eastAsia="宋体" w:cs="宋体"/>
      <w:color w:val="000000"/>
      <w:sz w:val="21"/>
      <w:szCs w:val="21"/>
      <w:u w:val="single"/>
    </w:rPr>
  </w:style>
  <w:style w:type="character" w:customStyle="1" w:styleId="72">
    <w:name w:val="apple-converted-space"/>
    <w:basedOn w:val="53"/>
    <w:qFormat/>
    <w:uiPriority w:val="0"/>
  </w:style>
  <w:style w:type="character" w:customStyle="1" w:styleId="73">
    <w:name w:val="Char Char8"/>
    <w:qFormat/>
    <w:uiPriority w:val="0"/>
    <w:rPr>
      <w:rFonts w:hint="default" w:ascii="Arial" w:hAnsi="Arial" w:eastAsia="黑体" w:cs="Times New Roman"/>
      <w:b/>
      <w:bCs/>
      <w:kern w:val="2"/>
      <w:sz w:val="32"/>
      <w:szCs w:val="32"/>
      <w:lang w:val="en-US" w:eastAsia="zh-CN" w:bidi="ar-SA"/>
    </w:rPr>
  </w:style>
  <w:style w:type="character" w:customStyle="1" w:styleId="74">
    <w:name w:val="标题 4 Char"/>
    <w:link w:val="6"/>
    <w:qFormat/>
    <w:uiPriority w:val="0"/>
    <w:rPr>
      <w:rFonts w:ascii="宋体" w:hAnsi="宋体" w:cs="宋体"/>
      <w:b/>
      <w:bCs/>
      <w:kern w:val="2"/>
      <w:sz w:val="24"/>
      <w:szCs w:val="24"/>
    </w:rPr>
  </w:style>
  <w:style w:type="character" w:customStyle="1" w:styleId="75">
    <w:name w:val="正文文本 2 Char"/>
    <w:link w:val="43"/>
    <w:qFormat/>
    <w:uiPriority w:val="0"/>
    <w:rPr>
      <w:kern w:val="2"/>
      <w:sz w:val="24"/>
      <w:szCs w:val="24"/>
    </w:rPr>
  </w:style>
  <w:style w:type="character" w:customStyle="1" w:styleId="76">
    <w:name w:val="font161"/>
    <w:qFormat/>
    <w:uiPriority w:val="0"/>
    <w:rPr>
      <w:rFonts w:hint="default" w:ascii="Times New Roman" w:hAnsi="Times New Roman" w:cs="Times New Roman"/>
      <w:b/>
      <w:bCs/>
      <w:sz w:val="32"/>
      <w:szCs w:val="32"/>
      <w:lang w:bidi="ar-SA"/>
    </w:rPr>
  </w:style>
  <w:style w:type="character" w:customStyle="1" w:styleId="77">
    <w:name w:val="fontstrikethrough"/>
    <w:qFormat/>
    <w:uiPriority w:val="0"/>
    <w:rPr>
      <w:strike/>
    </w:rPr>
  </w:style>
  <w:style w:type="character" w:customStyle="1" w:styleId="78">
    <w:name w:val="日期 Char"/>
    <w:link w:val="28"/>
    <w:qFormat/>
    <w:uiPriority w:val="0"/>
    <w:rPr>
      <w:kern w:val="2"/>
      <w:sz w:val="21"/>
      <w:szCs w:val="24"/>
    </w:rPr>
  </w:style>
  <w:style w:type="character" w:customStyle="1" w:styleId="79">
    <w:name w:val="正文文本缩进 2 Char"/>
    <w:link w:val="29"/>
    <w:qFormat/>
    <w:uiPriority w:val="0"/>
    <w:rPr>
      <w:kern w:val="2"/>
      <w:sz w:val="21"/>
      <w:szCs w:val="24"/>
    </w:rPr>
  </w:style>
  <w:style w:type="character" w:customStyle="1" w:styleId="80">
    <w:name w:val="批注引用1"/>
    <w:qFormat/>
    <w:uiPriority w:val="0"/>
    <w:rPr>
      <w:rFonts w:hint="default" w:ascii="Times New Roman" w:hAnsi="Times New Roman" w:cs="Times New Roman"/>
      <w:sz w:val="21"/>
      <w:szCs w:val="21"/>
      <w:lang w:bidi="ar-SA"/>
    </w:rPr>
  </w:style>
  <w:style w:type="character" w:customStyle="1" w:styleId="81">
    <w:name w:val="正文文本 3 Char"/>
    <w:link w:val="20"/>
    <w:qFormat/>
    <w:uiPriority w:val="0"/>
    <w:rPr>
      <w:b/>
      <w:bCs/>
      <w:kern w:val="2"/>
      <w:sz w:val="24"/>
      <w:szCs w:val="24"/>
    </w:rPr>
  </w:style>
  <w:style w:type="character" w:customStyle="1" w:styleId="82">
    <w:name w:val="正文文本 Char"/>
    <w:link w:val="21"/>
    <w:qFormat/>
    <w:uiPriority w:val="0"/>
    <w:rPr>
      <w:rFonts w:ascii="宋体" w:hAnsi="宋体" w:eastAsia="宋体"/>
      <w:kern w:val="2"/>
      <w:sz w:val="24"/>
      <w:szCs w:val="24"/>
      <w:lang w:bidi="ar-SA"/>
    </w:rPr>
  </w:style>
  <w:style w:type="character" w:customStyle="1" w:styleId="83">
    <w:name w:val="Char Char14"/>
    <w:qFormat/>
    <w:uiPriority w:val="0"/>
    <w:rPr>
      <w:rFonts w:ascii="Calibri" w:hAnsi="Calibri" w:eastAsia="宋体"/>
      <w:b/>
      <w:bCs/>
      <w:kern w:val="44"/>
      <w:sz w:val="44"/>
      <w:szCs w:val="44"/>
      <w:lang w:val="en-US" w:eastAsia="zh-CN" w:bidi="ar-SA"/>
    </w:rPr>
  </w:style>
  <w:style w:type="character" w:customStyle="1" w:styleId="84">
    <w:name w:val="font01"/>
    <w:qFormat/>
    <w:uiPriority w:val="0"/>
    <w:rPr>
      <w:rFonts w:hint="eastAsia" w:ascii="宋体" w:hAnsi="宋体" w:eastAsia="宋体" w:cs="宋体"/>
      <w:color w:val="000000"/>
      <w:sz w:val="21"/>
      <w:szCs w:val="21"/>
      <w:u w:val="none"/>
      <w:vertAlign w:val="superscript"/>
    </w:rPr>
  </w:style>
  <w:style w:type="character" w:customStyle="1" w:styleId="85">
    <w:name w:val="文档结构图 Char"/>
    <w:link w:val="17"/>
    <w:qFormat/>
    <w:uiPriority w:val="0"/>
    <w:rPr>
      <w:rFonts w:ascii="宋体"/>
      <w:kern w:val="2"/>
      <w:sz w:val="18"/>
      <w:szCs w:val="18"/>
    </w:rPr>
  </w:style>
  <w:style w:type="character" w:customStyle="1" w:styleId="86">
    <w:name w:val="r-text"/>
    <w:qFormat/>
    <w:uiPriority w:val="0"/>
    <w:rPr>
      <w:color w:val="00349B"/>
    </w:rPr>
  </w:style>
  <w:style w:type="character" w:customStyle="1" w:styleId="87">
    <w:name w:val="纯文本 Char1"/>
    <w:link w:val="26"/>
    <w:qFormat/>
    <w:uiPriority w:val="99"/>
    <w:rPr>
      <w:rFonts w:hint="eastAsia" w:ascii="宋体" w:hAnsi="宋体" w:eastAsia="宋体" w:cs="Courier New"/>
      <w:kern w:val="2"/>
      <w:sz w:val="21"/>
      <w:szCs w:val="21"/>
      <w:lang w:bidi="ar-SA"/>
    </w:rPr>
  </w:style>
  <w:style w:type="character" w:customStyle="1" w:styleId="88">
    <w:name w:val="页眉 Char"/>
    <w:link w:val="33"/>
    <w:qFormat/>
    <w:uiPriority w:val="0"/>
    <w:rPr>
      <w:kern w:val="2"/>
      <w:sz w:val="18"/>
      <w:szCs w:val="18"/>
    </w:rPr>
  </w:style>
  <w:style w:type="character" w:customStyle="1" w:styleId="89">
    <w:name w:val="font21"/>
    <w:qFormat/>
    <w:uiPriority w:val="0"/>
    <w:rPr>
      <w:rFonts w:hint="eastAsia" w:ascii="宋体" w:hAnsi="宋体" w:eastAsia="宋体" w:cs="宋体"/>
      <w:color w:val="000000"/>
      <w:sz w:val="21"/>
      <w:szCs w:val="21"/>
      <w:u w:val="none"/>
    </w:rPr>
  </w:style>
  <w:style w:type="character" w:customStyle="1" w:styleId="90">
    <w:name w:val="文一 Char Char"/>
    <w:link w:val="91"/>
    <w:qFormat/>
    <w:uiPriority w:val="0"/>
    <w:rPr>
      <w:spacing w:val="4"/>
      <w:sz w:val="24"/>
      <w:szCs w:val="24"/>
    </w:rPr>
  </w:style>
  <w:style w:type="paragraph" w:customStyle="1" w:styleId="91">
    <w:name w:val="文一"/>
    <w:basedOn w:val="1"/>
    <w:link w:val="90"/>
    <w:qFormat/>
    <w:uiPriority w:val="0"/>
    <w:pPr>
      <w:topLinePunct/>
      <w:adjustRightInd w:val="0"/>
      <w:snapToGrid w:val="0"/>
      <w:spacing w:line="360" w:lineRule="auto"/>
      <w:ind w:firstLine="200" w:firstLineChars="200"/>
    </w:pPr>
    <w:rPr>
      <w:spacing w:val="4"/>
      <w:kern w:val="0"/>
      <w:sz w:val="24"/>
    </w:rPr>
  </w:style>
  <w:style w:type="character" w:customStyle="1" w:styleId="92">
    <w:name w:val="页脚 Char"/>
    <w:link w:val="31"/>
    <w:qFormat/>
    <w:uiPriority w:val="99"/>
    <w:rPr>
      <w:rFonts w:ascii="宋体" w:hAnsi="宋体" w:eastAsia="宋体"/>
      <w:kern w:val="2"/>
      <w:sz w:val="18"/>
      <w:szCs w:val="18"/>
      <w:lang w:val="en-US" w:eastAsia="zh-CN" w:bidi="ar-SA"/>
    </w:rPr>
  </w:style>
  <w:style w:type="character" w:customStyle="1" w:styleId="93">
    <w:name w:val="正文文本缩进 3 Char"/>
    <w:link w:val="40"/>
    <w:qFormat/>
    <w:uiPriority w:val="0"/>
    <w:rPr>
      <w:color w:val="FF0000"/>
      <w:kern w:val="2"/>
      <w:sz w:val="24"/>
      <w:szCs w:val="24"/>
    </w:rPr>
  </w:style>
  <w:style w:type="character" w:customStyle="1" w:styleId="94">
    <w:name w:val="Char Char7"/>
    <w:qFormat/>
    <w:uiPriority w:val="0"/>
    <w:rPr>
      <w:rFonts w:hint="default" w:ascii="Arial" w:hAnsi="Arial" w:eastAsia="黑体" w:cs="Times New Roman"/>
      <w:b/>
      <w:bCs/>
      <w:kern w:val="2"/>
      <w:sz w:val="32"/>
      <w:szCs w:val="32"/>
      <w:lang w:val="en-US" w:eastAsia="zh-CN" w:bidi="ar-SA"/>
    </w:rPr>
  </w:style>
  <w:style w:type="character" w:customStyle="1" w:styleId="95">
    <w:name w:val="标题 1 Char"/>
    <w:link w:val="3"/>
    <w:qFormat/>
    <w:uiPriority w:val="0"/>
    <w:rPr>
      <w:b/>
      <w:bCs/>
      <w:kern w:val="44"/>
      <w:sz w:val="44"/>
      <w:szCs w:val="44"/>
    </w:rPr>
  </w:style>
  <w:style w:type="character" w:customStyle="1" w:styleId="96">
    <w:name w:val="r-time"/>
    <w:qFormat/>
    <w:uiPriority w:val="0"/>
    <w:rPr>
      <w:color w:val="B30000"/>
    </w:rPr>
  </w:style>
  <w:style w:type="character" w:customStyle="1" w:styleId="97">
    <w:name w:val="段落中的文本 Char"/>
    <w:link w:val="98"/>
    <w:qFormat/>
    <w:uiPriority w:val="0"/>
    <w:rPr>
      <w:rFonts w:ascii="宋体" w:hAnsi="宋体"/>
      <w:bCs/>
      <w:spacing w:val="1"/>
      <w:sz w:val="24"/>
      <w:szCs w:val="24"/>
    </w:rPr>
  </w:style>
  <w:style w:type="paragraph" w:customStyle="1" w:styleId="98">
    <w:name w:val="段落中的文本"/>
    <w:basedOn w:val="1"/>
    <w:link w:val="97"/>
    <w:qFormat/>
    <w:uiPriority w:val="0"/>
    <w:pPr>
      <w:adjustRightInd w:val="0"/>
      <w:snapToGrid w:val="0"/>
      <w:ind w:firstLine="482" w:firstLineChars="200"/>
    </w:pPr>
    <w:rPr>
      <w:rFonts w:ascii="宋体" w:hAnsi="宋体"/>
      <w:bCs/>
      <w:spacing w:val="1"/>
      <w:kern w:val="0"/>
      <w:sz w:val="24"/>
    </w:rPr>
  </w:style>
  <w:style w:type="character" w:customStyle="1" w:styleId="99">
    <w:name w:val="页码1"/>
    <w:qFormat/>
    <w:uiPriority w:val="0"/>
    <w:rPr>
      <w:rFonts w:hint="default" w:ascii="Times New Roman" w:hAnsi="Times New Roman" w:cs="Times New Roman"/>
      <w:lang w:bidi="ar-SA"/>
    </w:rPr>
  </w:style>
  <w:style w:type="character" w:customStyle="1" w:styleId="100">
    <w:name w:val="标题 3 Char"/>
    <w:link w:val="5"/>
    <w:qFormat/>
    <w:uiPriority w:val="0"/>
    <w:rPr>
      <w:rFonts w:ascii="宋体" w:hAnsi="宋体" w:cs="宋体"/>
      <w:b/>
      <w:bCs/>
      <w:kern w:val="2"/>
      <w:sz w:val="24"/>
      <w:szCs w:val="24"/>
    </w:rPr>
  </w:style>
  <w:style w:type="character" w:customStyle="1" w:styleId="101">
    <w:name w:val="标题 2 Char"/>
    <w:link w:val="4"/>
    <w:qFormat/>
    <w:uiPriority w:val="0"/>
    <w:rPr>
      <w:rFonts w:ascii="Arial" w:hAnsi="Arial"/>
      <w:b/>
      <w:bCs/>
      <w:kern w:val="2"/>
      <w:sz w:val="28"/>
      <w:szCs w:val="32"/>
    </w:rPr>
  </w:style>
  <w:style w:type="paragraph" w:customStyle="1" w:styleId="102">
    <w:name w:val="正文缩进_0"/>
    <w:basedOn w:val="103"/>
    <w:qFormat/>
    <w:uiPriority w:val="0"/>
    <w:pPr>
      <w:ind w:firstLine="420" w:firstLineChars="200"/>
    </w:pPr>
    <w:rPr>
      <w:rFonts w:cs="宋体"/>
    </w:rPr>
  </w:style>
  <w:style w:type="paragraph" w:customStyle="1" w:styleId="103">
    <w:name w:val="正文_2"/>
    <w:basedOn w:val="1"/>
    <w:qFormat/>
    <w:uiPriority w:val="0"/>
    <w:rPr>
      <w:szCs w:val="21"/>
    </w:rPr>
  </w:style>
  <w:style w:type="paragraph" w:customStyle="1" w:styleId="104">
    <w:name w:val="CM37"/>
    <w:basedOn w:val="105"/>
    <w:qFormat/>
    <w:uiPriority w:val="0"/>
    <w:rPr>
      <w:color w:val="auto"/>
    </w:rPr>
  </w:style>
  <w:style w:type="paragraph" w:customStyle="1" w:styleId="105">
    <w:name w:val="Default"/>
    <w:link w:val="299"/>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paragraph" w:customStyle="1" w:styleId="106">
    <w:name w:val="CM56"/>
    <w:basedOn w:val="105"/>
    <w:qFormat/>
    <w:uiPriority w:val="0"/>
    <w:rPr>
      <w:color w:val="auto"/>
    </w:rPr>
  </w:style>
  <w:style w:type="paragraph" w:customStyle="1" w:styleId="107">
    <w:name w:val="批注主题1"/>
    <w:basedOn w:val="19"/>
    <w:qFormat/>
    <w:uiPriority w:val="0"/>
    <w:rPr>
      <w:b/>
      <w:bCs/>
    </w:rPr>
  </w:style>
  <w:style w:type="paragraph" w:customStyle="1" w:styleId="108">
    <w:name w:val="正文文本 31"/>
    <w:basedOn w:val="1"/>
    <w:qFormat/>
    <w:uiPriority w:val="0"/>
    <w:pPr>
      <w:tabs>
        <w:tab w:val="left" w:pos="2040"/>
      </w:tabs>
    </w:pPr>
    <w:rPr>
      <w:rFonts w:ascii="宋体"/>
      <w:sz w:val="20"/>
      <w:szCs w:val="20"/>
    </w:rPr>
  </w:style>
  <w:style w:type="paragraph" w:customStyle="1" w:styleId="109">
    <w:name w:val="p15"/>
    <w:basedOn w:val="1"/>
    <w:qFormat/>
    <w:uiPriority w:val="0"/>
    <w:pPr>
      <w:widowControl/>
    </w:pPr>
    <w:rPr>
      <w:kern w:val="0"/>
      <w:szCs w:val="21"/>
    </w:rPr>
  </w:style>
  <w:style w:type="paragraph" w:customStyle="1" w:styleId="110">
    <w:name w:val="表格文字"/>
    <w:basedOn w:val="1"/>
    <w:qFormat/>
    <w:uiPriority w:val="0"/>
    <w:pPr>
      <w:adjustRightInd w:val="0"/>
      <w:spacing w:line="420" w:lineRule="atLeast"/>
      <w:jc w:val="left"/>
    </w:pPr>
    <w:rPr>
      <w:kern w:val="0"/>
      <w:szCs w:val="20"/>
    </w:rPr>
  </w:style>
  <w:style w:type="paragraph" w:customStyle="1" w:styleId="111">
    <w:name w:val="表格"/>
    <w:basedOn w:val="1"/>
    <w:qFormat/>
    <w:uiPriority w:val="0"/>
    <w:pPr>
      <w:jc w:val="center"/>
    </w:pPr>
    <w:rPr>
      <w:rFonts w:ascii="华文细黑" w:hAnsi="华文细黑"/>
      <w:kern w:val="0"/>
      <w:szCs w:val="20"/>
    </w:rPr>
  </w:style>
  <w:style w:type="paragraph" w:customStyle="1" w:styleId="112">
    <w:name w:val="Table Paragraph"/>
    <w:basedOn w:val="1"/>
    <w:qFormat/>
    <w:uiPriority w:val="99"/>
    <w:rPr>
      <w:rFonts w:ascii="Times New Roman" w:hAnsi="Times New Roman"/>
      <w:color w:val="000000"/>
      <w:kern w:val="0"/>
    </w:rPr>
  </w:style>
  <w:style w:type="paragraph" w:customStyle="1" w:styleId="113">
    <w:name w:val="样式 标题 3 + (中文) 黑体 小四 非加粗 段前: 7.8 磅 段后: 0 磅 行距: 固定值 20 磅"/>
    <w:basedOn w:val="5"/>
    <w:qFormat/>
    <w:uiPriority w:val="0"/>
    <w:pPr>
      <w:spacing w:line="400" w:lineRule="exact"/>
    </w:pPr>
    <w:rPr>
      <w:rFonts w:eastAsia="黑体"/>
      <w:b w:val="0"/>
      <w:bCs w:val="0"/>
      <w:szCs w:val="20"/>
    </w:rPr>
  </w:style>
  <w:style w:type="paragraph" w:customStyle="1" w:styleId="114">
    <w:name w:val="样式1"/>
    <w:basedOn w:val="5"/>
    <w:qFormat/>
    <w:uiPriority w:val="0"/>
  </w:style>
  <w:style w:type="paragraph" w:customStyle="1" w:styleId="115">
    <w:name w:val="Char1"/>
    <w:basedOn w:val="1"/>
    <w:qFormat/>
    <w:uiPriority w:val="0"/>
    <w:pPr>
      <w:tabs>
        <w:tab w:val="left" w:pos="1200"/>
      </w:tabs>
      <w:spacing w:line="360" w:lineRule="auto"/>
      <w:ind w:firstLine="200" w:firstLineChars="200"/>
    </w:pPr>
  </w:style>
  <w:style w:type="paragraph" w:customStyle="1" w:styleId="116">
    <w:name w:val="1"/>
    <w:basedOn w:val="1"/>
    <w:qFormat/>
    <w:uiPriority w:val="0"/>
    <w:pPr>
      <w:tabs>
        <w:tab w:val="left" w:pos="1200"/>
      </w:tabs>
    </w:pPr>
  </w:style>
  <w:style w:type="paragraph" w:styleId="117">
    <w:name w:val="List Paragraph"/>
    <w:basedOn w:val="1"/>
    <w:qFormat/>
    <w:uiPriority w:val="34"/>
    <w:pPr>
      <w:ind w:firstLine="420" w:firstLineChars="200"/>
    </w:pPr>
    <w:rPr>
      <w:rFonts w:ascii="宋体"/>
      <w:sz w:val="24"/>
    </w:rPr>
  </w:style>
  <w:style w:type="paragraph" w:customStyle="1" w:styleId="118">
    <w:name w:val="纯文本1"/>
    <w:basedOn w:val="1"/>
    <w:qFormat/>
    <w:uiPriority w:val="0"/>
    <w:rPr>
      <w:rFonts w:ascii="Courier New" w:hAnsi="Courier New"/>
      <w:sz w:val="20"/>
      <w:szCs w:val="20"/>
    </w:rPr>
  </w:style>
  <w:style w:type="paragraph" w:customStyle="1" w:styleId="119">
    <w:name w:val="正文缩进1"/>
    <w:basedOn w:val="1"/>
    <w:qFormat/>
    <w:uiPriority w:val="0"/>
    <w:pPr>
      <w:ind w:firstLine="200" w:firstLineChars="200"/>
    </w:pPr>
    <w:rPr>
      <w:szCs w:val="21"/>
    </w:rPr>
  </w:style>
  <w:style w:type="paragraph" w:customStyle="1" w:styleId="120">
    <w:name w:val="列出段落1"/>
    <w:basedOn w:val="1"/>
    <w:qFormat/>
    <w:uiPriority w:val="0"/>
    <w:pPr>
      <w:ind w:firstLine="420" w:firstLineChars="200"/>
    </w:pPr>
  </w:style>
  <w:style w:type="paragraph" w:customStyle="1" w:styleId="121">
    <w:name w:val="正文缩进2"/>
    <w:basedOn w:val="1"/>
    <w:qFormat/>
    <w:uiPriority w:val="0"/>
    <w:pPr>
      <w:ind w:firstLine="200" w:firstLineChars="200"/>
    </w:pPr>
  </w:style>
  <w:style w:type="paragraph" w:customStyle="1" w:styleId="122">
    <w:name w:val="p0 paragraphindent"/>
    <w:basedOn w:val="1"/>
    <w:qFormat/>
    <w:uiPriority w:val="0"/>
    <w:pPr>
      <w:widowControl/>
      <w:spacing w:before="100" w:beforeAutospacing="1" w:after="100" w:afterAutospacing="1"/>
      <w:jc w:val="left"/>
    </w:pPr>
    <w:rPr>
      <w:rFonts w:ascii="宋体" w:hAnsi="宋体" w:cs="宋体"/>
      <w:kern w:val="0"/>
      <w:sz w:val="24"/>
    </w:rPr>
  </w:style>
  <w:style w:type="paragraph" w:customStyle="1" w:styleId="123">
    <w:name w:val="CM7"/>
    <w:basedOn w:val="105"/>
    <w:qFormat/>
    <w:uiPriority w:val="0"/>
    <w:pPr>
      <w:spacing w:line="191" w:lineRule="atLeast"/>
    </w:pPr>
    <w:rPr>
      <w:color w:val="auto"/>
    </w:rPr>
  </w:style>
  <w:style w:type="paragraph" w:customStyle="1" w:styleId="124">
    <w:name w:val="图表目录1"/>
    <w:basedOn w:val="1"/>
    <w:qFormat/>
    <w:uiPriority w:val="0"/>
    <w:pPr>
      <w:tabs>
        <w:tab w:val="left" w:pos="780"/>
      </w:tabs>
      <w:ind w:left="200" w:leftChars="200" w:hanging="200" w:hangingChars="200"/>
    </w:pPr>
  </w:style>
  <w:style w:type="paragraph" w:customStyle="1" w:styleId="125">
    <w:name w:val="样式 标题 2 + Times New Roman 四号 非加粗 段前: 5 磅 段后: 0 磅 行距: 固定值 20..."/>
    <w:basedOn w:val="4"/>
    <w:qFormat/>
    <w:uiPriority w:val="0"/>
    <w:pPr>
      <w:spacing w:before="100" w:line="400" w:lineRule="exact"/>
    </w:pPr>
    <w:rPr>
      <w:rFonts w:ascii="Times New Roman" w:hAnsi="Times New Roman" w:cs="宋体"/>
      <w:b w:val="0"/>
      <w:bCs w:val="0"/>
      <w:szCs w:val="20"/>
    </w:rPr>
  </w:style>
  <w:style w:type="paragraph" w:customStyle="1" w:styleId="126">
    <w:name w:val="日期1"/>
    <w:basedOn w:val="1"/>
    <w:qFormat/>
    <w:uiPriority w:val="0"/>
    <w:rPr>
      <w:sz w:val="20"/>
      <w:szCs w:val="20"/>
    </w:rPr>
  </w:style>
  <w:style w:type="paragraph" w:customStyle="1" w:styleId="127">
    <w:name w:val="CM5"/>
    <w:basedOn w:val="105"/>
    <w:qFormat/>
    <w:uiPriority w:val="0"/>
    <w:pPr>
      <w:spacing w:line="180" w:lineRule="atLeast"/>
    </w:pPr>
    <w:rPr>
      <w:color w:val="auto"/>
    </w:rPr>
  </w:style>
  <w:style w:type="paragraph" w:customStyle="1" w:styleId="128">
    <w:name w:val="reader-word-layer"/>
    <w:basedOn w:val="1"/>
    <w:qFormat/>
    <w:uiPriority w:val="0"/>
    <w:pPr>
      <w:widowControl/>
      <w:spacing w:before="100" w:beforeAutospacing="1" w:after="100" w:afterAutospacing="1"/>
      <w:jc w:val="left"/>
    </w:pPr>
    <w:rPr>
      <w:rFonts w:ascii="宋体" w:cs="宋体"/>
      <w:kern w:val="0"/>
      <w:sz w:val="24"/>
    </w:rPr>
  </w:style>
  <w:style w:type="paragraph" w:customStyle="1" w:styleId="129">
    <w:name w:val="CM57"/>
    <w:basedOn w:val="105"/>
    <w:qFormat/>
    <w:uiPriority w:val="0"/>
    <w:rPr>
      <w:color w:val="auto"/>
    </w:rPr>
  </w:style>
  <w:style w:type="paragraph" w:customStyle="1" w:styleId="130">
    <w:name w:val="CM3"/>
    <w:basedOn w:val="105"/>
    <w:qFormat/>
    <w:uiPriority w:val="0"/>
    <w:rPr>
      <w:color w:val="auto"/>
    </w:rPr>
  </w:style>
  <w:style w:type="paragraph" w:customStyle="1" w:styleId="131">
    <w:name w:val="Char Char1"/>
    <w:basedOn w:val="1"/>
    <w:qFormat/>
    <w:uiPriority w:val="0"/>
    <w:pPr>
      <w:tabs>
        <w:tab w:val="left" w:pos="780"/>
      </w:tabs>
      <w:spacing w:line="360" w:lineRule="auto"/>
      <w:ind w:firstLine="200" w:firstLineChars="200"/>
    </w:pPr>
  </w:style>
  <w:style w:type="paragraph" w:customStyle="1" w:styleId="132">
    <w:name w:val="xl31"/>
    <w:basedOn w:val="1"/>
    <w:qFormat/>
    <w:uiPriority w:val="0"/>
    <w:pPr>
      <w:widowControl/>
      <w:spacing w:before="100" w:beforeAutospacing="1" w:after="100" w:afterAutospacing="1"/>
      <w:jc w:val="center"/>
    </w:pPr>
    <w:rPr>
      <w:rFonts w:ascii="宋体" w:hAnsi="宋体"/>
      <w:b/>
      <w:bCs/>
      <w:kern w:val="0"/>
      <w:sz w:val="28"/>
      <w:szCs w:val="28"/>
    </w:rPr>
  </w:style>
  <w:style w:type="paragraph" w:customStyle="1" w:styleId="133">
    <w:name w:val="p0"/>
    <w:basedOn w:val="1"/>
    <w:qFormat/>
    <w:uiPriority w:val="0"/>
    <w:pPr>
      <w:widowControl/>
    </w:pPr>
    <w:rPr>
      <w:kern w:val="0"/>
      <w:szCs w:val="21"/>
    </w:rPr>
  </w:style>
  <w:style w:type="paragraph" w:customStyle="1" w:styleId="134">
    <w:name w:val="CM60"/>
    <w:basedOn w:val="105"/>
    <w:qFormat/>
    <w:uiPriority w:val="0"/>
    <w:rPr>
      <w:color w:val="auto"/>
    </w:rPr>
  </w:style>
  <w:style w:type="paragraph" w:customStyle="1" w:styleId="135">
    <w:name w:val="纯文本2"/>
    <w:basedOn w:val="1"/>
    <w:qFormat/>
    <w:uiPriority w:val="0"/>
    <w:rPr>
      <w:rFonts w:ascii="Courier New" w:hAnsi="Courier New"/>
      <w:sz w:val="20"/>
      <w:szCs w:val="20"/>
    </w:rPr>
  </w:style>
  <w:style w:type="paragraph" w:customStyle="1" w:styleId="136">
    <w:name w:val="样式3"/>
    <w:basedOn w:val="5"/>
    <w:qFormat/>
    <w:uiPriority w:val="0"/>
  </w:style>
  <w:style w:type="paragraph" w:customStyle="1" w:styleId="137">
    <w:name w:val="正文文本缩进1"/>
    <w:basedOn w:val="1"/>
    <w:qFormat/>
    <w:uiPriority w:val="0"/>
    <w:pPr>
      <w:tabs>
        <w:tab w:val="left" w:pos="1620"/>
      </w:tabs>
      <w:spacing w:after="120"/>
      <w:ind w:left="200" w:leftChars="200"/>
    </w:pPr>
    <w:rPr>
      <w:sz w:val="24"/>
    </w:rPr>
  </w:style>
  <w:style w:type="paragraph" w:customStyle="1" w:styleId="138">
    <w:name w:val="样式 标题 1 + 黑体 三号 非加粗 居中 段前: 6 磅 段后: 6 磅 行距: 固定值 20 磅"/>
    <w:basedOn w:val="3"/>
    <w:qFormat/>
    <w:uiPriority w:val="0"/>
    <w:pPr>
      <w:spacing w:before="120" w:after="120" w:line="400" w:lineRule="exact"/>
      <w:jc w:val="center"/>
    </w:pPr>
    <w:rPr>
      <w:rFonts w:ascii="黑体" w:eastAsia="黑体" w:cs="宋体"/>
      <w:b w:val="0"/>
      <w:bCs w:val="0"/>
      <w:sz w:val="32"/>
      <w:szCs w:val="20"/>
    </w:rPr>
  </w:style>
  <w:style w:type="paragraph" w:customStyle="1" w:styleId="139">
    <w:name w:val="CM2"/>
    <w:basedOn w:val="105"/>
    <w:qFormat/>
    <w:uiPriority w:val="0"/>
    <w:pPr>
      <w:spacing w:line="188" w:lineRule="atLeast"/>
    </w:pPr>
    <w:rPr>
      <w:color w:val="auto"/>
    </w:rPr>
  </w:style>
  <w:style w:type="paragraph" w:customStyle="1" w:styleId="140">
    <w:name w:val="列出段落11"/>
    <w:basedOn w:val="1"/>
    <w:qFormat/>
    <w:uiPriority w:val="0"/>
    <w:pPr>
      <w:adjustRightInd w:val="0"/>
      <w:snapToGrid w:val="0"/>
      <w:spacing w:line="360" w:lineRule="auto"/>
      <w:ind w:firstLine="420" w:firstLineChars="200"/>
      <w:jc w:val="left"/>
    </w:pPr>
    <w:rPr>
      <w:rFonts w:cs="黑体"/>
      <w:sz w:val="24"/>
      <w:szCs w:val="22"/>
    </w:rPr>
  </w:style>
  <w:style w:type="paragraph" w:customStyle="1" w:styleId="141">
    <w:name w:val="样式4"/>
    <w:basedOn w:val="5"/>
    <w:qFormat/>
    <w:uiPriority w:val="0"/>
    <w:pPr>
      <w:tabs>
        <w:tab w:val="left" w:pos="2040"/>
      </w:tabs>
    </w:pPr>
  </w:style>
  <w:style w:type="paragraph" w:customStyle="1" w:styleId="142">
    <w:name w:val="索引 11"/>
    <w:basedOn w:val="1"/>
    <w:qFormat/>
    <w:uiPriority w:val="0"/>
  </w:style>
  <w:style w:type="paragraph" w:customStyle="1" w:styleId="143">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4">
    <w:name w:val="文档结构图1"/>
    <w:basedOn w:val="1"/>
    <w:qFormat/>
    <w:uiPriority w:val="0"/>
    <w:pPr>
      <w:shd w:val="clear" w:color="auto" w:fill="000080"/>
      <w:tabs>
        <w:tab w:val="left" w:pos="1620"/>
      </w:tabs>
    </w:pPr>
    <w:rPr>
      <w:sz w:val="24"/>
    </w:rPr>
  </w:style>
  <w:style w:type="paragraph" w:customStyle="1" w:styleId="145">
    <w:name w:val="普通(网站)1"/>
    <w:basedOn w:val="1"/>
    <w:qFormat/>
    <w:uiPriority w:val="0"/>
    <w:pPr>
      <w:widowControl/>
      <w:spacing w:before="100" w:beforeAutospacing="1" w:after="100" w:afterAutospacing="1"/>
      <w:jc w:val="left"/>
    </w:pPr>
    <w:rPr>
      <w:rFonts w:ascii="宋体" w:cs="宋体"/>
      <w:kern w:val="0"/>
      <w:sz w:val="24"/>
    </w:rPr>
  </w:style>
  <w:style w:type="paragraph" w:customStyle="1" w:styleId="146">
    <w:name w:val="正文_3"/>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7">
    <w:name w:val="标题 3_0"/>
    <w:basedOn w:val="103"/>
    <w:qFormat/>
    <w:uiPriority w:val="0"/>
    <w:pPr>
      <w:keepNext/>
      <w:keepLines/>
      <w:widowControl/>
      <w:spacing w:before="120" w:after="120" w:line="360" w:lineRule="auto"/>
      <w:ind w:left="720" w:hanging="720"/>
      <w:jc w:val="center"/>
      <w:outlineLvl w:val="2"/>
    </w:pPr>
    <w:rPr>
      <w:b/>
      <w:bCs/>
      <w:kern w:val="0"/>
      <w:sz w:val="32"/>
      <w:szCs w:val="32"/>
    </w:rPr>
  </w:style>
  <w:style w:type="paragraph" w:customStyle="1" w:styleId="148">
    <w:name w:val="样式2"/>
    <w:basedOn w:val="5"/>
    <w:qFormat/>
    <w:uiPriority w:val="0"/>
  </w:style>
  <w:style w:type="paragraph" w:customStyle="1" w:styleId="149">
    <w:name w:val="正文文本缩进 31"/>
    <w:basedOn w:val="1"/>
    <w:qFormat/>
    <w:uiPriority w:val="0"/>
    <w:pPr>
      <w:spacing w:after="120"/>
      <w:ind w:left="200" w:leftChars="200"/>
    </w:pPr>
    <w:rPr>
      <w:sz w:val="16"/>
      <w:szCs w:val="16"/>
    </w:rPr>
  </w:style>
  <w:style w:type="paragraph" w:customStyle="1" w:styleId="150">
    <w:name w:val="索引标题1"/>
    <w:basedOn w:val="1"/>
    <w:qFormat/>
    <w:uiPriority w:val="0"/>
  </w:style>
  <w:style w:type="paragraph" w:customStyle="1" w:styleId="151">
    <w:name w:val="6'"/>
    <w:basedOn w:val="1"/>
    <w:qFormat/>
    <w:uiPriority w:val="0"/>
    <w:pPr>
      <w:autoSpaceDE w:val="0"/>
      <w:autoSpaceDN w:val="0"/>
      <w:adjustRightInd w:val="0"/>
      <w:snapToGrid w:val="0"/>
      <w:spacing w:line="320" w:lineRule="exact"/>
      <w:jc w:val="center"/>
    </w:pPr>
    <w:rPr>
      <w:spacing w:val="20"/>
      <w:kern w:val="28"/>
      <w:szCs w:val="20"/>
    </w:rPr>
  </w:style>
  <w:style w:type="paragraph" w:customStyle="1" w:styleId="152">
    <w:name w:val="Char"/>
    <w:basedOn w:val="1"/>
    <w:qFormat/>
    <w:uiPriority w:val="0"/>
    <w:pPr>
      <w:tabs>
        <w:tab w:val="left" w:pos="360"/>
      </w:tabs>
    </w:pPr>
    <w:rPr>
      <w:sz w:val="24"/>
    </w:rPr>
  </w:style>
  <w:style w:type="paragraph" w:customStyle="1" w:styleId="153">
    <w:name w:val="称呼1"/>
    <w:basedOn w:val="1"/>
    <w:qFormat/>
    <w:uiPriority w:val="0"/>
    <w:rPr>
      <w:rFonts w:ascii="仿宋_GB2312" w:eastAsia="仿宋_GB2312"/>
      <w:sz w:val="20"/>
      <w:szCs w:val="20"/>
    </w:rPr>
  </w:style>
  <w:style w:type="character" w:customStyle="1" w:styleId="154">
    <w:name w:val="批注文字 Char"/>
    <w:link w:val="19"/>
    <w:qFormat/>
    <w:uiPriority w:val="0"/>
    <w:rPr>
      <w:kern w:val="2"/>
      <w:sz w:val="24"/>
      <w:szCs w:val="24"/>
    </w:rPr>
  </w:style>
  <w:style w:type="paragraph" w:customStyle="1" w:styleId="155">
    <w:name w:val="彩色列表 - 强调文字颜色 11"/>
    <w:basedOn w:val="1"/>
    <w:qFormat/>
    <w:uiPriority w:val="34"/>
    <w:pPr>
      <w:spacing w:line="360" w:lineRule="auto"/>
      <w:ind w:firstLine="420" w:firstLineChars="200"/>
    </w:pPr>
    <w:rPr>
      <w:rFonts w:cs="宋体"/>
      <w:szCs w:val="21"/>
    </w:rPr>
  </w:style>
  <w:style w:type="character" w:customStyle="1" w:styleId="156">
    <w:name w:val="批注主题 Char"/>
    <w:basedOn w:val="154"/>
    <w:link w:val="48"/>
    <w:qFormat/>
    <w:uiPriority w:val="0"/>
    <w:rPr>
      <w:b/>
      <w:bCs/>
      <w:kern w:val="2"/>
      <w:sz w:val="21"/>
      <w:szCs w:val="24"/>
    </w:rPr>
  </w:style>
  <w:style w:type="character" w:customStyle="1" w:styleId="157">
    <w:name w:val="未处理的提及1"/>
    <w:basedOn w:val="53"/>
    <w:qFormat/>
    <w:uiPriority w:val="99"/>
    <w:rPr>
      <w:color w:val="605E5C"/>
      <w:shd w:val="clear" w:color="auto" w:fill="E1DFDD"/>
    </w:rPr>
  </w:style>
  <w:style w:type="character" w:customStyle="1" w:styleId="158">
    <w:name w:val="标题 3 Char1"/>
    <w:qFormat/>
    <w:uiPriority w:val="0"/>
    <w:rPr>
      <w:rFonts w:ascii="宋体" w:hAnsi="宋体"/>
      <w:b/>
      <w:bCs/>
      <w:kern w:val="2"/>
      <w:sz w:val="24"/>
      <w:szCs w:val="32"/>
      <w:shd w:val="clear" w:color="auto" w:fill="FFFFFF"/>
    </w:rPr>
  </w:style>
  <w:style w:type="character" w:customStyle="1" w:styleId="159">
    <w:name w:val="正文缩进 Char"/>
    <w:link w:val="2"/>
    <w:qFormat/>
    <w:uiPriority w:val="0"/>
    <w:rPr>
      <w:kern w:val="2"/>
      <w:sz w:val="21"/>
      <w:szCs w:val="24"/>
    </w:rPr>
  </w:style>
  <w:style w:type="character" w:customStyle="1" w:styleId="160">
    <w:name w:val="HTML 预设格式 Char"/>
    <w:basedOn w:val="53"/>
    <w:link w:val="44"/>
    <w:qFormat/>
    <w:uiPriority w:val="0"/>
    <w:rPr>
      <w:rFonts w:ascii="Arial Unicode MS" w:hAnsi="Arial Unicode MS" w:eastAsia="Arial Unicode MS"/>
      <w:color w:val="000000"/>
      <w:shd w:val="clear" w:color="auto" w:fill="FFFFFF"/>
    </w:rPr>
  </w:style>
  <w:style w:type="paragraph" w:customStyle="1" w:styleId="161">
    <w:name w:val="样式41"/>
    <w:basedOn w:val="1"/>
    <w:qFormat/>
    <w:uiPriority w:val="0"/>
    <w:pPr>
      <w:widowControl/>
      <w:shd w:val="clear" w:color="auto" w:fill="FFFFFF"/>
      <w:tabs>
        <w:tab w:val="left" w:pos="426"/>
        <w:tab w:val="left" w:pos="945"/>
        <w:tab w:val="left" w:pos="2040"/>
      </w:tabs>
      <w:adjustRightInd w:val="0"/>
      <w:snapToGrid w:val="0"/>
      <w:spacing w:line="360" w:lineRule="auto"/>
      <w:ind w:left="2040" w:leftChars="800" w:hanging="360" w:hangingChars="200"/>
    </w:pPr>
    <w:rPr>
      <w:rFonts w:ascii="宋体" w:hAnsi="宋体" w:cs="宋体"/>
      <w:b/>
      <w:color w:val="000000"/>
      <w:kern w:val="0"/>
      <w:sz w:val="24"/>
      <w:szCs w:val="20"/>
    </w:rPr>
  </w:style>
  <w:style w:type="paragraph" w:customStyle="1" w:styleId="162">
    <w:name w:val="图"/>
    <w:basedOn w:val="1"/>
    <w:qFormat/>
    <w:uiPriority w:val="0"/>
    <w:pPr>
      <w:keepNext/>
      <w:widowControl/>
      <w:shd w:val="clear" w:color="auto" w:fill="FFFFFF"/>
      <w:tabs>
        <w:tab w:val="left" w:pos="426"/>
      </w:tabs>
      <w:adjustRightInd w:val="0"/>
      <w:snapToGrid w:val="0"/>
      <w:spacing w:before="60" w:after="60" w:line="300" w:lineRule="auto"/>
      <w:jc w:val="center"/>
    </w:pPr>
    <w:rPr>
      <w:rFonts w:ascii="宋体" w:hAnsi="宋体" w:cs="宋体"/>
      <w:spacing w:val="20"/>
      <w:kern w:val="0"/>
      <w:sz w:val="24"/>
      <w:szCs w:val="20"/>
    </w:rPr>
  </w:style>
  <w:style w:type="paragraph" w:customStyle="1" w:styleId="163">
    <w:name w:val="文档正文"/>
    <w:basedOn w:val="1"/>
    <w:qFormat/>
    <w:uiPriority w:val="0"/>
    <w:pPr>
      <w:widowControl/>
      <w:shd w:val="clear" w:color="auto" w:fill="FFFFFF"/>
      <w:tabs>
        <w:tab w:val="left" w:pos="426"/>
      </w:tabs>
      <w:adjustRightInd w:val="0"/>
      <w:snapToGrid w:val="0"/>
      <w:spacing w:line="480" w:lineRule="atLeast"/>
      <w:ind w:firstLine="567" w:firstLineChars="200"/>
    </w:pPr>
    <w:rPr>
      <w:rFonts w:ascii="长城仿宋" w:hAnsi="宋体" w:cs="宋体"/>
      <w:kern w:val="0"/>
      <w:szCs w:val="20"/>
    </w:rPr>
  </w:style>
  <w:style w:type="paragraph" w:customStyle="1" w:styleId="164">
    <w:name w:val="Char Char Char Char"/>
    <w:basedOn w:val="1"/>
    <w:qFormat/>
    <w:uiPriority w:val="0"/>
    <w:pPr>
      <w:widowControl/>
      <w:shd w:val="clear" w:color="auto" w:fill="FFFFFF"/>
      <w:tabs>
        <w:tab w:val="left" w:pos="426"/>
      </w:tabs>
      <w:adjustRightInd w:val="0"/>
      <w:snapToGrid w:val="0"/>
      <w:spacing w:after="160" w:line="240" w:lineRule="exact"/>
      <w:jc w:val="left"/>
    </w:pPr>
    <w:rPr>
      <w:rFonts w:ascii="Verdana" w:hAnsi="Verdana" w:eastAsia="仿宋_GB2312" w:cs="宋体"/>
      <w:kern w:val="0"/>
      <w:sz w:val="24"/>
      <w:szCs w:val="20"/>
      <w:lang w:eastAsia="en-US"/>
    </w:rPr>
  </w:style>
  <w:style w:type="paragraph" w:customStyle="1" w:styleId="165">
    <w:name w:val="Table Contents"/>
    <w:basedOn w:val="1"/>
    <w:qFormat/>
    <w:uiPriority w:val="0"/>
    <w:pPr>
      <w:widowControl/>
      <w:shd w:val="clear" w:color="auto" w:fill="FFFFFF"/>
      <w:tabs>
        <w:tab w:val="left" w:pos="426"/>
      </w:tabs>
      <w:suppressAutoHyphens/>
      <w:autoSpaceDE w:val="0"/>
      <w:adjustRightInd w:val="0"/>
      <w:snapToGrid w:val="0"/>
      <w:spacing w:after="120" w:line="360" w:lineRule="auto"/>
      <w:jc w:val="left"/>
    </w:pPr>
    <w:rPr>
      <w:rFonts w:ascii="Helvetica" w:hAnsi="Helvetica" w:cs="宋体"/>
      <w:kern w:val="1"/>
      <w:sz w:val="20"/>
      <w:szCs w:val="20"/>
    </w:rPr>
  </w:style>
  <w:style w:type="paragraph" w:customStyle="1" w:styleId="166">
    <w:name w:val="自定义正文"/>
    <w:basedOn w:val="1"/>
    <w:qFormat/>
    <w:uiPriority w:val="0"/>
    <w:pPr>
      <w:widowControl/>
      <w:shd w:val="clear" w:color="auto" w:fill="FFFFFF"/>
      <w:tabs>
        <w:tab w:val="left" w:pos="426"/>
      </w:tabs>
      <w:adjustRightInd w:val="0"/>
      <w:snapToGrid w:val="0"/>
      <w:spacing w:afterLines="50" w:line="360" w:lineRule="auto"/>
      <w:ind w:left="600" w:leftChars="600"/>
    </w:pPr>
    <w:rPr>
      <w:rFonts w:ascii="宋体" w:hAnsi="宋体" w:cs="宋体"/>
      <w:kern w:val="0"/>
    </w:rPr>
  </w:style>
  <w:style w:type="paragraph" w:customStyle="1" w:styleId="167">
    <w:name w:val="Char Char Char Char Char"/>
    <w:basedOn w:val="1"/>
    <w:qFormat/>
    <w:uiPriority w:val="0"/>
    <w:pPr>
      <w:widowControl/>
      <w:shd w:val="clear" w:color="auto" w:fill="FFFFFF"/>
      <w:tabs>
        <w:tab w:val="left" w:pos="426"/>
      </w:tabs>
      <w:adjustRightInd w:val="0"/>
      <w:snapToGrid w:val="0"/>
      <w:spacing w:line="360" w:lineRule="auto"/>
    </w:pPr>
    <w:rPr>
      <w:rFonts w:ascii="Tahoma" w:hAnsi="Tahoma" w:cs="宋体"/>
      <w:kern w:val="0"/>
      <w:sz w:val="24"/>
      <w:szCs w:val="20"/>
    </w:rPr>
  </w:style>
  <w:style w:type="paragraph" w:customStyle="1" w:styleId="168">
    <w:name w:val="小标题 1"/>
    <w:basedOn w:val="1"/>
    <w:qFormat/>
    <w:uiPriority w:val="0"/>
    <w:pPr>
      <w:widowControl/>
      <w:shd w:val="clear" w:color="auto" w:fill="FFFFFF"/>
      <w:tabs>
        <w:tab w:val="left" w:pos="426"/>
      </w:tabs>
      <w:autoSpaceDE w:val="0"/>
      <w:autoSpaceDN w:val="0"/>
      <w:adjustRightInd w:val="0"/>
      <w:snapToGrid w:val="0"/>
      <w:spacing w:line="360" w:lineRule="atLeast"/>
    </w:pPr>
    <w:rPr>
      <w:rFonts w:ascii="文鼎粗黑" w:hAnsi="宋体" w:eastAsia="文鼎粗黑" w:cs="宋体"/>
      <w:kern w:val="0"/>
      <w:sz w:val="22"/>
      <w:szCs w:val="20"/>
    </w:rPr>
  </w:style>
  <w:style w:type="paragraph" w:customStyle="1" w:styleId="169">
    <w:name w:val="Char Char"/>
    <w:basedOn w:val="1"/>
    <w:qFormat/>
    <w:uiPriority w:val="0"/>
    <w:pPr>
      <w:widowControl/>
      <w:shd w:val="clear" w:color="auto" w:fill="FFFFFF"/>
      <w:tabs>
        <w:tab w:val="left" w:pos="426"/>
      </w:tabs>
      <w:adjustRightInd w:val="0"/>
      <w:snapToGrid w:val="0"/>
      <w:spacing w:line="360" w:lineRule="auto"/>
    </w:pPr>
    <w:rPr>
      <w:rFonts w:ascii="Tahoma" w:hAnsi="Tahoma" w:cs="宋体"/>
      <w:kern w:val="0"/>
      <w:sz w:val="24"/>
      <w:szCs w:val="20"/>
    </w:rPr>
  </w:style>
  <w:style w:type="paragraph" w:customStyle="1" w:styleId="170">
    <w:name w:val="È±Ê¡ÎÄ±¾"/>
    <w:basedOn w:val="1"/>
    <w:qFormat/>
    <w:uiPriority w:val="0"/>
    <w:pPr>
      <w:widowControl/>
      <w:shd w:val="clear" w:color="auto" w:fill="FFFFFF"/>
      <w:tabs>
        <w:tab w:val="left" w:pos="426"/>
      </w:tabs>
      <w:overflowPunct w:val="0"/>
      <w:autoSpaceDE w:val="0"/>
      <w:autoSpaceDN w:val="0"/>
      <w:adjustRightInd w:val="0"/>
      <w:snapToGrid w:val="0"/>
      <w:spacing w:line="360" w:lineRule="auto"/>
      <w:jc w:val="left"/>
    </w:pPr>
    <w:rPr>
      <w:rFonts w:ascii="宋体" w:hAnsi="宋体" w:cs="宋体"/>
      <w:kern w:val="0"/>
      <w:sz w:val="24"/>
      <w:szCs w:val="20"/>
    </w:rPr>
  </w:style>
  <w:style w:type="character" w:customStyle="1" w:styleId="171">
    <w:name w:val="批注文字 Char1"/>
    <w:qFormat/>
    <w:uiPriority w:val="0"/>
    <w:rPr>
      <w:rFonts w:ascii="宋体" w:eastAsia="宋体"/>
      <w:sz w:val="34"/>
      <w:lang w:val="en-US" w:eastAsia="zh-CN" w:bidi="ar-SA"/>
    </w:rPr>
  </w:style>
  <w:style w:type="paragraph" w:customStyle="1" w:styleId="172">
    <w:name w:val="TOC 标题1"/>
    <w:basedOn w:val="3"/>
    <w:qFormat/>
    <w:uiPriority w:val="39"/>
    <w:pPr>
      <w:spacing w:line="578" w:lineRule="auto"/>
      <w:outlineLvl w:val="9"/>
    </w:pPr>
  </w:style>
  <w:style w:type="character" w:customStyle="1" w:styleId="173">
    <w:name w:val="副标题 Char"/>
    <w:basedOn w:val="53"/>
    <w:link w:val="37"/>
    <w:qFormat/>
    <w:uiPriority w:val="0"/>
    <w:rPr>
      <w:rFonts w:ascii="Cambria" w:hAnsi="Cambria"/>
      <w:b/>
      <w:bCs/>
      <w:kern w:val="28"/>
      <w:sz w:val="28"/>
      <w:szCs w:val="32"/>
      <w:shd w:val="clear" w:color="auto" w:fill="FFFFFF"/>
    </w:rPr>
  </w:style>
  <w:style w:type="paragraph" w:customStyle="1" w:styleId="174">
    <w:name w:val="Char Char Char"/>
    <w:basedOn w:val="1"/>
    <w:qFormat/>
    <w:uiPriority w:val="0"/>
    <w:pPr>
      <w:widowControl/>
      <w:shd w:val="clear" w:color="auto" w:fill="FFFFFF"/>
      <w:tabs>
        <w:tab w:val="left" w:pos="426"/>
      </w:tabs>
      <w:adjustRightInd w:val="0"/>
      <w:snapToGrid w:val="0"/>
      <w:spacing w:line="360" w:lineRule="auto"/>
    </w:pPr>
    <w:rPr>
      <w:rFonts w:ascii="Tahoma" w:hAnsi="Tahoma" w:cs="宋体"/>
      <w:kern w:val="0"/>
      <w:sz w:val="24"/>
      <w:szCs w:val="20"/>
    </w:rPr>
  </w:style>
  <w:style w:type="paragraph" w:customStyle="1" w:styleId="175">
    <w:name w:val="主题"/>
    <w:basedOn w:val="1"/>
    <w:qFormat/>
    <w:uiPriority w:val="0"/>
    <w:pPr>
      <w:widowControl/>
      <w:shd w:val="clear" w:color="auto" w:fill="FFFFFF"/>
      <w:tabs>
        <w:tab w:val="left" w:pos="426"/>
      </w:tabs>
      <w:adjustRightInd w:val="0"/>
      <w:snapToGrid w:val="0"/>
      <w:spacing w:line="360" w:lineRule="auto"/>
    </w:pPr>
    <w:rPr>
      <w:rFonts w:ascii="宋体" w:hAnsi="宋体" w:cs="宋体"/>
      <w:kern w:val="0"/>
    </w:rPr>
  </w:style>
  <w:style w:type="paragraph" w:customStyle="1" w:styleId="176">
    <w:name w:val="默认段落字体 Para Char Char Char Char Char Char Char Char Char3 Char Char Char Char"/>
    <w:basedOn w:val="17"/>
    <w:qFormat/>
    <w:uiPriority w:val="0"/>
    <w:pPr>
      <w:widowControl/>
      <w:shd w:val="clear" w:color="auto" w:fill="000080"/>
      <w:tabs>
        <w:tab w:val="left" w:pos="426"/>
      </w:tabs>
      <w:adjustRightInd w:val="0"/>
      <w:snapToGrid w:val="0"/>
      <w:spacing w:line="436" w:lineRule="exact"/>
      <w:ind w:left="357"/>
      <w:jc w:val="left"/>
      <w:outlineLvl w:val="3"/>
    </w:pPr>
    <w:rPr>
      <w:rFonts w:ascii="Tahoma" w:hAnsi="Tahoma"/>
      <w:b/>
      <w:sz w:val="24"/>
      <w:szCs w:val="24"/>
    </w:rPr>
  </w:style>
  <w:style w:type="paragraph" w:customStyle="1" w:styleId="177">
    <w:name w:val="目次、标准名称标题"/>
    <w:basedOn w:val="1"/>
    <w:qFormat/>
    <w:uiPriority w:val="0"/>
    <w:pPr>
      <w:widowControl/>
      <w:shd w:val="clear" w:color="FFFFFF" w:fill="FFFFFF"/>
      <w:tabs>
        <w:tab w:val="left" w:pos="426"/>
      </w:tabs>
      <w:adjustRightInd w:val="0"/>
      <w:snapToGrid w:val="0"/>
      <w:spacing w:before="640" w:after="560" w:line="460" w:lineRule="exact"/>
      <w:jc w:val="center"/>
      <w:outlineLvl w:val="0"/>
    </w:pPr>
    <w:rPr>
      <w:rFonts w:ascii="黑体" w:hAnsi="宋体" w:eastAsia="黑体" w:cs="宋体"/>
      <w:kern w:val="0"/>
      <w:sz w:val="32"/>
      <w:szCs w:val="20"/>
    </w:rPr>
  </w:style>
  <w:style w:type="paragraph" w:customStyle="1" w:styleId="178">
    <w:name w:val="表1黑体居中"/>
    <w:basedOn w:val="1"/>
    <w:qFormat/>
    <w:uiPriority w:val="0"/>
    <w:pPr>
      <w:widowControl/>
      <w:shd w:val="clear" w:color="auto" w:fill="FFFFFF"/>
      <w:tabs>
        <w:tab w:val="left" w:pos="426"/>
      </w:tabs>
      <w:adjustRightInd w:val="0"/>
      <w:snapToGrid w:val="0"/>
      <w:spacing w:line="360" w:lineRule="auto"/>
      <w:ind w:firstLine="435"/>
      <w:jc w:val="center"/>
    </w:pPr>
    <w:rPr>
      <w:rFonts w:ascii="黑体" w:hAnsi="宋体" w:eastAsia="黑体" w:cs="宋体"/>
      <w:kern w:val="0"/>
      <w:szCs w:val="21"/>
    </w:rPr>
  </w:style>
  <w:style w:type="paragraph" w:customStyle="1" w:styleId="179">
    <w:name w:val="MaoC2"/>
    <w:basedOn w:val="1"/>
    <w:qFormat/>
    <w:uiPriority w:val="0"/>
    <w:pPr>
      <w:widowControl/>
      <w:numPr>
        <w:ilvl w:val="1"/>
        <w:numId w:val="3"/>
      </w:numPr>
      <w:shd w:val="clear" w:color="auto" w:fill="FFFFFF"/>
      <w:tabs>
        <w:tab w:val="left" w:pos="426"/>
      </w:tabs>
      <w:adjustRightInd w:val="0"/>
      <w:snapToGrid w:val="0"/>
      <w:spacing w:line="480" w:lineRule="auto"/>
      <w:outlineLvl w:val="1"/>
    </w:pPr>
    <w:rPr>
      <w:rFonts w:ascii="黑体" w:hAnsi="宋体" w:eastAsia="黑体" w:cs="宋体"/>
      <w:kern w:val="0"/>
      <w:szCs w:val="20"/>
    </w:rPr>
  </w:style>
  <w:style w:type="paragraph" w:customStyle="1" w:styleId="180">
    <w:name w:val="图目录4"/>
    <w:basedOn w:val="1"/>
    <w:qFormat/>
    <w:uiPriority w:val="0"/>
    <w:pPr>
      <w:widowControl/>
      <w:numPr>
        <w:ilvl w:val="0"/>
        <w:numId w:val="4"/>
      </w:numPr>
      <w:shd w:val="clear" w:color="auto" w:fill="FFFFFF"/>
      <w:tabs>
        <w:tab w:val="left" w:pos="426"/>
      </w:tabs>
      <w:adjustRightInd w:val="0"/>
      <w:snapToGrid w:val="0"/>
      <w:spacing w:line="360" w:lineRule="auto"/>
      <w:ind w:hanging="448"/>
      <w:jc w:val="center"/>
    </w:pPr>
    <w:rPr>
      <w:rFonts w:ascii="宋体" w:hAnsi="宋体" w:cs="宋体"/>
      <w:kern w:val="0"/>
      <w:szCs w:val="20"/>
    </w:rPr>
  </w:style>
  <w:style w:type="paragraph" w:customStyle="1" w:styleId="181">
    <w:name w:val="段"/>
    <w:qFormat/>
    <w:uiPriority w:val="0"/>
    <w:pPr>
      <w:autoSpaceDE w:val="0"/>
      <w:autoSpaceDN w:val="0"/>
      <w:spacing w:line="360" w:lineRule="auto"/>
      <w:ind w:firstLine="200" w:firstLineChars="200"/>
      <w:jc w:val="both"/>
    </w:pPr>
    <w:rPr>
      <w:rFonts w:ascii="宋体" w:hAnsi="Times New Roman" w:eastAsia="宋体" w:cs="Times New Roman"/>
      <w:sz w:val="21"/>
      <w:lang w:val="en-US" w:eastAsia="zh-CN" w:bidi="ar-SA"/>
    </w:rPr>
  </w:style>
  <w:style w:type="character" w:customStyle="1" w:styleId="182">
    <w:name w:val="列出段落 Char"/>
    <w:qFormat/>
    <w:uiPriority w:val="0"/>
    <w:rPr>
      <w:kern w:val="2"/>
      <w:sz w:val="21"/>
      <w:szCs w:val="24"/>
    </w:rPr>
  </w:style>
  <w:style w:type="table" w:customStyle="1" w:styleId="183">
    <w:name w:val="Table Normal"/>
    <w:qFormat/>
    <w:uiPriority w:val="0"/>
    <w:pPr>
      <w:spacing w:line="360" w:lineRule="auto"/>
      <w:jc w:val="both"/>
    </w:pPr>
    <w:tblPr>
      <w:tblCellMar>
        <w:top w:w="0" w:type="dxa"/>
        <w:left w:w="0" w:type="dxa"/>
        <w:bottom w:w="0" w:type="dxa"/>
        <w:right w:w="0" w:type="dxa"/>
      </w:tblCellMar>
    </w:tblPr>
  </w:style>
  <w:style w:type="paragraph" w:customStyle="1" w:styleId="184">
    <w:name w:val="参数内容"/>
    <w:basedOn w:val="1"/>
    <w:qFormat/>
    <w:uiPriority w:val="0"/>
    <w:pPr>
      <w:widowControl/>
      <w:numPr>
        <w:ilvl w:val="0"/>
        <w:numId w:val="5"/>
      </w:numPr>
      <w:shd w:val="clear" w:color="auto" w:fill="FFFFFF"/>
      <w:tabs>
        <w:tab w:val="left" w:pos="426"/>
      </w:tabs>
      <w:adjustRightInd w:val="0"/>
      <w:snapToGrid w:val="0"/>
      <w:spacing w:line="360" w:lineRule="auto"/>
      <w:ind w:firstLine="0"/>
    </w:pPr>
    <w:rPr>
      <w:rFonts w:ascii="Times New Roman" w:hAnsi="Times New Roman"/>
      <w:szCs w:val="18"/>
    </w:rPr>
  </w:style>
  <w:style w:type="paragraph" w:customStyle="1" w:styleId="185">
    <w:name w:val="标准正文"/>
    <w:basedOn w:val="22"/>
    <w:link w:val="186"/>
    <w:qFormat/>
    <w:uiPriority w:val="0"/>
    <w:pPr>
      <w:widowControl/>
      <w:shd w:val="clear" w:color="auto" w:fill="FFFFFF"/>
      <w:tabs>
        <w:tab w:val="left" w:pos="426"/>
      </w:tabs>
      <w:adjustRightInd w:val="0"/>
      <w:snapToGrid w:val="0"/>
      <w:spacing w:before="60" w:after="60" w:line="360" w:lineRule="auto"/>
      <w:ind w:left="0" w:leftChars="0" w:firstLine="482"/>
      <w:jc w:val="left"/>
    </w:pPr>
    <w:rPr>
      <w:rFonts w:ascii="宋体" w:hAnsi="宋体"/>
      <w:kern w:val="0"/>
      <w:sz w:val="24"/>
      <w:szCs w:val="20"/>
    </w:rPr>
  </w:style>
  <w:style w:type="character" w:customStyle="1" w:styleId="186">
    <w:name w:val="标准正文 Char"/>
    <w:link w:val="185"/>
    <w:qFormat/>
    <w:uiPriority w:val="0"/>
    <w:rPr>
      <w:rFonts w:ascii="宋体" w:hAnsi="宋体"/>
      <w:sz w:val="24"/>
      <w:shd w:val="clear" w:color="auto" w:fill="FFFFFF"/>
    </w:rPr>
  </w:style>
  <w:style w:type="paragraph" w:customStyle="1" w:styleId="187">
    <w:name w:val="下级参数内容"/>
    <w:basedOn w:val="1"/>
    <w:qFormat/>
    <w:uiPriority w:val="0"/>
    <w:pPr>
      <w:widowControl/>
      <w:numPr>
        <w:ilvl w:val="0"/>
        <w:numId w:val="6"/>
      </w:numPr>
      <w:shd w:val="clear" w:color="auto" w:fill="FFFFFF"/>
      <w:tabs>
        <w:tab w:val="left" w:pos="426"/>
      </w:tabs>
      <w:adjustRightInd w:val="0"/>
      <w:snapToGrid w:val="0"/>
      <w:spacing w:line="360" w:lineRule="auto"/>
      <w:ind w:left="1134" w:firstLine="0"/>
    </w:pPr>
    <w:rPr>
      <w:rFonts w:ascii="仿宋" w:hAnsi="仿宋"/>
    </w:rPr>
  </w:style>
  <w:style w:type="paragraph" w:customStyle="1" w:styleId="188">
    <w:name w:val="Char Char10 Char Char"/>
    <w:basedOn w:val="17"/>
    <w:qFormat/>
    <w:uiPriority w:val="0"/>
    <w:pPr>
      <w:widowControl/>
      <w:shd w:val="clear" w:color="auto" w:fill="000080"/>
      <w:tabs>
        <w:tab w:val="left" w:pos="426"/>
      </w:tabs>
      <w:adjustRightInd w:val="0"/>
      <w:snapToGrid w:val="0"/>
      <w:spacing w:line="360" w:lineRule="auto"/>
    </w:pPr>
    <w:rPr>
      <w:rFonts w:ascii="Tahoma" w:hAnsi="Tahoma"/>
      <w:sz w:val="24"/>
      <w:szCs w:val="24"/>
    </w:rPr>
  </w:style>
  <w:style w:type="paragraph" w:customStyle="1" w:styleId="189">
    <w:name w:val="font5"/>
    <w:basedOn w:val="1"/>
    <w:qFormat/>
    <w:uiPriority w:val="0"/>
    <w:pPr>
      <w:widowControl/>
      <w:shd w:val="clear" w:color="auto" w:fill="FFFFFF"/>
      <w:tabs>
        <w:tab w:val="left" w:pos="426"/>
      </w:tabs>
      <w:adjustRightInd w:val="0"/>
      <w:snapToGrid w:val="0"/>
      <w:spacing w:before="100" w:beforeAutospacing="1" w:after="100" w:afterAutospacing="1" w:line="360" w:lineRule="auto"/>
      <w:jc w:val="left"/>
    </w:pPr>
    <w:rPr>
      <w:rFonts w:ascii="宋体" w:hAnsi="宋体" w:cs="宋体"/>
      <w:kern w:val="0"/>
      <w:sz w:val="18"/>
      <w:szCs w:val="18"/>
    </w:rPr>
  </w:style>
  <w:style w:type="paragraph" w:customStyle="1" w:styleId="190">
    <w:name w:val="xl65"/>
    <w:basedOn w:val="1"/>
    <w:qFormat/>
    <w:uiPriority w:val="0"/>
    <w:pPr>
      <w:widowControl/>
      <w:pBdr>
        <w:top w:val="single" w:color="auto" w:sz="8" w:space="0"/>
        <w:bottom w:val="single" w:color="auto" w:sz="8" w:space="0"/>
        <w:right w:val="single" w:color="auto" w:sz="8" w:space="0"/>
      </w:pBdr>
      <w:shd w:val="clear" w:color="000000" w:fill="FFFFFF"/>
      <w:tabs>
        <w:tab w:val="left" w:pos="426"/>
      </w:tabs>
      <w:adjustRightInd w:val="0"/>
      <w:snapToGrid w:val="0"/>
      <w:spacing w:before="100" w:beforeAutospacing="1" w:after="100" w:afterAutospacing="1" w:line="360" w:lineRule="auto"/>
      <w:jc w:val="center"/>
    </w:pPr>
    <w:rPr>
      <w:rFonts w:ascii="宋体" w:hAnsi="宋体" w:cs="宋体"/>
      <w:b/>
      <w:bCs/>
      <w:kern w:val="0"/>
      <w:sz w:val="24"/>
    </w:rPr>
  </w:style>
  <w:style w:type="paragraph" w:customStyle="1" w:styleId="191">
    <w:name w:val="xl66"/>
    <w:basedOn w:val="1"/>
    <w:qFormat/>
    <w:uiPriority w:val="0"/>
    <w:pPr>
      <w:widowControl/>
      <w:pBdr>
        <w:bottom w:val="single" w:color="auto" w:sz="8" w:space="0"/>
        <w:right w:val="single" w:color="auto" w:sz="8" w:space="0"/>
      </w:pBdr>
      <w:shd w:val="clear" w:color="000000" w:fill="FFFFFF"/>
      <w:tabs>
        <w:tab w:val="left" w:pos="426"/>
      </w:tabs>
      <w:adjustRightInd w:val="0"/>
      <w:snapToGrid w:val="0"/>
      <w:spacing w:before="100" w:beforeAutospacing="1" w:after="100" w:afterAutospacing="1" w:line="360" w:lineRule="auto"/>
      <w:jc w:val="center"/>
    </w:pPr>
    <w:rPr>
      <w:rFonts w:ascii="宋体" w:hAnsi="宋体" w:cs="宋体"/>
      <w:kern w:val="0"/>
      <w:sz w:val="24"/>
    </w:rPr>
  </w:style>
  <w:style w:type="paragraph" w:customStyle="1" w:styleId="192">
    <w:name w:val="xl67"/>
    <w:basedOn w:val="1"/>
    <w:qFormat/>
    <w:uiPriority w:val="0"/>
    <w:pPr>
      <w:widowControl/>
      <w:pBdr>
        <w:bottom w:val="single" w:color="auto" w:sz="8" w:space="0"/>
        <w:right w:val="single" w:color="auto" w:sz="8" w:space="0"/>
      </w:pBdr>
      <w:shd w:val="clear" w:color="000000" w:fill="FFFFFF"/>
      <w:tabs>
        <w:tab w:val="left" w:pos="426"/>
      </w:tabs>
      <w:adjustRightInd w:val="0"/>
      <w:snapToGrid w:val="0"/>
      <w:spacing w:before="100" w:beforeAutospacing="1" w:after="100" w:afterAutospacing="1" w:line="360" w:lineRule="auto"/>
      <w:jc w:val="center"/>
    </w:pPr>
    <w:rPr>
      <w:rFonts w:ascii="宋体" w:hAnsi="宋体" w:cs="宋体"/>
      <w:color w:val="000000"/>
      <w:kern w:val="0"/>
      <w:sz w:val="24"/>
    </w:rPr>
  </w:style>
  <w:style w:type="paragraph" w:customStyle="1" w:styleId="193">
    <w:name w:val="xl68"/>
    <w:basedOn w:val="1"/>
    <w:qFormat/>
    <w:uiPriority w:val="0"/>
    <w:pPr>
      <w:widowControl/>
      <w:pBdr>
        <w:top w:val="single" w:color="auto" w:sz="8" w:space="0"/>
        <w:left w:val="single" w:color="auto" w:sz="8" w:space="0"/>
        <w:bottom w:val="single" w:color="auto" w:sz="8" w:space="0"/>
        <w:right w:val="single" w:color="auto" w:sz="8" w:space="0"/>
      </w:pBdr>
      <w:shd w:val="clear" w:color="000000" w:fill="FFFFFF"/>
      <w:tabs>
        <w:tab w:val="left" w:pos="426"/>
      </w:tabs>
      <w:adjustRightInd w:val="0"/>
      <w:snapToGrid w:val="0"/>
      <w:spacing w:before="100" w:beforeAutospacing="1" w:after="100" w:afterAutospacing="1" w:line="360" w:lineRule="auto"/>
      <w:jc w:val="left"/>
    </w:pPr>
    <w:rPr>
      <w:rFonts w:ascii="宋体" w:hAnsi="宋体" w:cs="宋体"/>
      <w:b/>
      <w:bCs/>
      <w:kern w:val="0"/>
      <w:sz w:val="24"/>
    </w:rPr>
  </w:style>
  <w:style w:type="paragraph" w:customStyle="1" w:styleId="194">
    <w:name w:val="xl69"/>
    <w:basedOn w:val="1"/>
    <w:qFormat/>
    <w:uiPriority w:val="0"/>
    <w:pPr>
      <w:widowControl/>
      <w:pBdr>
        <w:left w:val="single" w:color="auto" w:sz="8" w:space="0"/>
        <w:bottom w:val="single" w:color="auto" w:sz="8" w:space="0"/>
        <w:right w:val="single" w:color="auto" w:sz="8" w:space="0"/>
      </w:pBdr>
      <w:shd w:val="clear" w:color="000000" w:fill="FFFFFF"/>
      <w:tabs>
        <w:tab w:val="left" w:pos="426"/>
      </w:tabs>
      <w:adjustRightInd w:val="0"/>
      <w:snapToGrid w:val="0"/>
      <w:spacing w:before="100" w:beforeAutospacing="1" w:after="100" w:afterAutospacing="1" w:line="360" w:lineRule="auto"/>
      <w:jc w:val="center"/>
    </w:pPr>
    <w:rPr>
      <w:rFonts w:ascii="宋体" w:hAnsi="宋体" w:cs="宋体"/>
      <w:kern w:val="0"/>
      <w:sz w:val="24"/>
    </w:rPr>
  </w:style>
  <w:style w:type="paragraph" w:customStyle="1" w:styleId="195">
    <w:name w:val="样式 标题 3style3H3h33rd levelLevel 3 Headlevel_3PIM 33l3C..."/>
    <w:basedOn w:val="5"/>
    <w:qFormat/>
    <w:uiPriority w:val="0"/>
  </w:style>
  <w:style w:type="character" w:customStyle="1" w:styleId="196">
    <w:name w:val="批注框文本 Char"/>
    <w:link w:val="30"/>
    <w:qFormat/>
    <w:uiPriority w:val="99"/>
    <w:rPr>
      <w:kern w:val="2"/>
      <w:sz w:val="18"/>
      <w:szCs w:val="18"/>
    </w:rPr>
  </w:style>
  <w:style w:type="paragraph" w:customStyle="1" w:styleId="197">
    <w:name w:val="图标题"/>
    <w:basedOn w:val="1"/>
    <w:link w:val="201"/>
    <w:qFormat/>
    <w:uiPriority w:val="0"/>
    <w:pPr>
      <w:widowControl/>
      <w:shd w:val="clear" w:color="auto" w:fill="FFFFFF"/>
      <w:tabs>
        <w:tab w:val="left" w:pos="426"/>
      </w:tabs>
      <w:adjustRightInd w:val="0"/>
      <w:snapToGrid w:val="0"/>
      <w:spacing w:line="360" w:lineRule="auto"/>
      <w:jc w:val="center"/>
    </w:pPr>
    <w:rPr>
      <w:rFonts w:ascii="宋体" w:hAnsi="宋体"/>
    </w:rPr>
  </w:style>
  <w:style w:type="paragraph" w:customStyle="1" w:styleId="198">
    <w:name w:val="表标题"/>
    <w:basedOn w:val="1"/>
    <w:qFormat/>
    <w:uiPriority w:val="0"/>
    <w:pPr>
      <w:widowControl/>
      <w:shd w:val="clear" w:color="auto" w:fill="FFFFFF"/>
      <w:tabs>
        <w:tab w:val="left" w:pos="426"/>
      </w:tabs>
      <w:adjustRightInd w:val="0"/>
      <w:snapToGrid w:val="0"/>
      <w:spacing w:line="360" w:lineRule="auto"/>
      <w:jc w:val="center"/>
    </w:pPr>
    <w:rPr>
      <w:rFonts w:ascii="宋体" w:hAnsi="宋体" w:eastAsia="黑体" w:cs="宋体"/>
      <w:b/>
      <w:kern w:val="0"/>
    </w:rPr>
  </w:style>
  <w:style w:type="paragraph" w:customStyle="1" w:styleId="199">
    <w:name w:val="正文-1级标题-1"/>
    <w:basedOn w:val="1"/>
    <w:qFormat/>
    <w:uiPriority w:val="0"/>
    <w:pPr>
      <w:keepNext/>
      <w:widowControl/>
      <w:shd w:val="clear" w:color="auto" w:fill="FFFFFF"/>
      <w:tabs>
        <w:tab w:val="left" w:pos="420"/>
      </w:tabs>
      <w:adjustRightInd w:val="0"/>
      <w:snapToGrid w:val="0"/>
      <w:spacing w:beforeLines="30" w:afterLines="30" w:line="360" w:lineRule="auto"/>
    </w:pPr>
    <w:rPr>
      <w:rFonts w:ascii="宋体" w:hAnsi="宋体" w:cs="宋体"/>
      <w:b/>
      <w:kern w:val="0"/>
      <w:sz w:val="24"/>
      <w:szCs w:val="28"/>
      <w:lang w:val="en-GB"/>
    </w:rPr>
  </w:style>
  <w:style w:type="paragraph" w:customStyle="1" w:styleId="200">
    <w:name w:val="正文-1级列表-(1)"/>
    <w:basedOn w:val="1"/>
    <w:qFormat/>
    <w:uiPriority w:val="0"/>
    <w:pPr>
      <w:widowControl/>
      <w:shd w:val="clear" w:color="auto" w:fill="FFFFFF"/>
      <w:tabs>
        <w:tab w:val="left" w:pos="420"/>
      </w:tabs>
      <w:adjustRightInd w:val="0"/>
      <w:snapToGrid w:val="0"/>
      <w:spacing w:line="360" w:lineRule="auto"/>
      <w:ind w:left="800"/>
    </w:pPr>
    <w:rPr>
      <w:rFonts w:ascii="宋体" w:hAnsi="宋体" w:cs="宋体"/>
      <w:kern w:val="0"/>
      <w:sz w:val="24"/>
      <w:lang w:val="en-GB"/>
    </w:rPr>
  </w:style>
  <w:style w:type="character" w:customStyle="1" w:styleId="201">
    <w:name w:val="图标题 Char"/>
    <w:link w:val="197"/>
    <w:qFormat/>
    <w:uiPriority w:val="0"/>
    <w:rPr>
      <w:rFonts w:ascii="宋体" w:hAnsi="宋体"/>
      <w:kern w:val="2"/>
      <w:sz w:val="21"/>
      <w:szCs w:val="24"/>
      <w:shd w:val="clear" w:color="auto" w:fill="FFFFFF"/>
    </w:rPr>
  </w:style>
  <w:style w:type="character" w:customStyle="1" w:styleId="202">
    <w:name w:val="标题 5 Char"/>
    <w:link w:val="7"/>
    <w:qFormat/>
    <w:uiPriority w:val="0"/>
    <w:rPr>
      <w:b/>
      <w:kern w:val="2"/>
      <w:sz w:val="24"/>
      <w:szCs w:val="24"/>
    </w:rPr>
  </w:style>
  <w:style w:type="character" w:customStyle="1" w:styleId="203">
    <w:name w:val="标题 6 Char"/>
    <w:link w:val="8"/>
    <w:qFormat/>
    <w:uiPriority w:val="0"/>
    <w:rPr>
      <w:rFonts w:ascii="Arial" w:hAnsi="Arial" w:eastAsia="黑体"/>
      <w:b/>
      <w:bCs/>
      <w:sz w:val="24"/>
      <w:szCs w:val="24"/>
    </w:rPr>
  </w:style>
  <w:style w:type="character" w:customStyle="1" w:styleId="204">
    <w:name w:val="标题 7 Char"/>
    <w:link w:val="9"/>
    <w:qFormat/>
    <w:uiPriority w:val="0"/>
    <w:rPr>
      <w:b/>
      <w:bCs/>
      <w:sz w:val="24"/>
      <w:szCs w:val="24"/>
    </w:rPr>
  </w:style>
  <w:style w:type="character" w:customStyle="1" w:styleId="205">
    <w:name w:val="标题 8 Char"/>
    <w:link w:val="10"/>
    <w:qFormat/>
    <w:uiPriority w:val="0"/>
    <w:rPr>
      <w:rFonts w:ascii="Arial" w:hAnsi="Arial" w:eastAsia="黑体"/>
      <w:sz w:val="24"/>
      <w:szCs w:val="24"/>
    </w:rPr>
  </w:style>
  <w:style w:type="character" w:customStyle="1" w:styleId="206">
    <w:name w:val="标题 9 Char"/>
    <w:link w:val="11"/>
    <w:qFormat/>
    <w:uiPriority w:val="0"/>
    <w:rPr>
      <w:rFonts w:ascii="Arial" w:hAnsi="Arial" w:eastAsia="黑体"/>
      <w:sz w:val="21"/>
      <w:szCs w:val="21"/>
    </w:rPr>
  </w:style>
  <w:style w:type="paragraph" w:customStyle="1" w:styleId="207">
    <w:name w:val="样式 标题 1 + 段前: 0.5 行 段后: 0.5 行"/>
    <w:basedOn w:val="3"/>
    <w:qFormat/>
    <w:uiPriority w:val="0"/>
    <w:pPr>
      <w:numPr>
        <w:ilvl w:val="0"/>
        <w:numId w:val="7"/>
      </w:numPr>
      <w:ind w:left="0" w:firstLine="0"/>
    </w:pPr>
  </w:style>
  <w:style w:type="paragraph" w:customStyle="1" w:styleId="208">
    <w:name w:val="样式 标题 4 + 段前: 0.5 行 段后: 0.5 行"/>
    <w:basedOn w:val="6"/>
    <w:qFormat/>
    <w:uiPriority w:val="0"/>
  </w:style>
  <w:style w:type="paragraph" w:customStyle="1" w:styleId="209">
    <w:name w:val="样式 标题 4 + 段前: 0.5 行 段后: 0.5 行1"/>
    <w:basedOn w:val="6"/>
    <w:qFormat/>
    <w:uiPriority w:val="0"/>
  </w:style>
  <w:style w:type="paragraph" w:customStyle="1" w:styleId="210">
    <w:name w:val="￥正文"/>
    <w:basedOn w:val="1"/>
    <w:link w:val="211"/>
    <w:qFormat/>
    <w:uiPriority w:val="0"/>
    <w:pPr>
      <w:widowControl/>
      <w:shd w:val="clear" w:color="auto" w:fill="FFFFFF"/>
      <w:tabs>
        <w:tab w:val="left" w:pos="426"/>
      </w:tabs>
      <w:adjustRightInd w:val="0"/>
      <w:snapToGrid w:val="0"/>
      <w:spacing w:line="360" w:lineRule="auto"/>
      <w:ind w:firstLine="200" w:firstLineChars="200"/>
    </w:pPr>
    <w:rPr>
      <w:sz w:val="24"/>
      <w:szCs w:val="20"/>
    </w:rPr>
  </w:style>
  <w:style w:type="character" w:customStyle="1" w:styleId="211">
    <w:name w:val="￥正文 Char"/>
    <w:link w:val="210"/>
    <w:qFormat/>
    <w:uiPriority w:val="0"/>
    <w:rPr>
      <w:kern w:val="2"/>
      <w:sz w:val="24"/>
      <w:shd w:val="clear" w:color="auto" w:fill="FFFFFF"/>
    </w:rPr>
  </w:style>
  <w:style w:type="paragraph" w:customStyle="1" w:styleId="212">
    <w:name w:val="样式 标题 4h4heading 4h41heading 41h42heading 42h411heading ..."/>
    <w:basedOn w:val="6"/>
    <w:qFormat/>
    <w:uiPriority w:val="0"/>
  </w:style>
  <w:style w:type="paragraph" w:customStyle="1" w:styleId="213">
    <w:name w:val="!项目ALT+P"/>
    <w:basedOn w:val="1"/>
    <w:qFormat/>
    <w:uiPriority w:val="0"/>
    <w:pPr>
      <w:widowControl/>
      <w:numPr>
        <w:ilvl w:val="0"/>
        <w:numId w:val="8"/>
      </w:numPr>
      <w:shd w:val="clear" w:color="auto" w:fill="FFFFFF"/>
      <w:adjustRightInd w:val="0"/>
      <w:snapToGrid w:val="0"/>
      <w:spacing w:line="320" w:lineRule="atLeast"/>
      <w:ind w:firstLine="0"/>
    </w:pPr>
    <w:rPr>
      <w:rFonts w:ascii="宋体" w:hAnsi="宋体" w:cs="宋体"/>
      <w:kern w:val="0"/>
      <w:szCs w:val="21"/>
    </w:rPr>
  </w:style>
  <w:style w:type="paragraph" w:customStyle="1" w:styleId="214">
    <w:name w:val="样式 样式 (符号) 宋体 小四 行距: 1.5 倍行距 首行缩进:  1.5 字符 + 宋体 首行缩进:  2 字符"/>
    <w:basedOn w:val="1"/>
    <w:qFormat/>
    <w:uiPriority w:val="0"/>
    <w:pPr>
      <w:widowControl/>
      <w:shd w:val="clear" w:color="auto" w:fill="FFFFFF"/>
      <w:tabs>
        <w:tab w:val="left" w:pos="426"/>
      </w:tabs>
      <w:adjustRightInd w:val="0"/>
      <w:snapToGrid w:val="0"/>
      <w:spacing w:line="360" w:lineRule="auto"/>
      <w:ind w:firstLine="480" w:firstLineChars="200"/>
    </w:pPr>
    <w:rPr>
      <w:rFonts w:ascii="宋体" w:hAnsi="宋体" w:cs="宋体"/>
      <w:kern w:val="0"/>
      <w:sz w:val="24"/>
      <w:szCs w:val="20"/>
    </w:rPr>
  </w:style>
  <w:style w:type="paragraph" w:customStyle="1" w:styleId="215">
    <w:name w:val="正文内容"/>
    <w:basedOn w:val="1"/>
    <w:link w:val="216"/>
    <w:qFormat/>
    <w:uiPriority w:val="0"/>
    <w:pPr>
      <w:widowControl/>
      <w:shd w:val="clear" w:color="auto" w:fill="FFFFFF"/>
      <w:tabs>
        <w:tab w:val="left" w:pos="426"/>
      </w:tabs>
      <w:adjustRightInd w:val="0"/>
      <w:snapToGrid w:val="0"/>
      <w:spacing w:line="360" w:lineRule="auto"/>
    </w:pPr>
    <w:rPr>
      <w:rFonts w:ascii="Times New Roman" w:hAnsi="Times New Roman"/>
      <w:kern w:val="0"/>
      <w:sz w:val="20"/>
    </w:rPr>
  </w:style>
  <w:style w:type="character" w:customStyle="1" w:styleId="216">
    <w:name w:val="正文内容 Char"/>
    <w:link w:val="215"/>
    <w:qFormat/>
    <w:uiPriority w:val="0"/>
    <w:rPr>
      <w:rFonts w:ascii="Times New Roman" w:hAnsi="Times New Roman"/>
      <w:szCs w:val="24"/>
      <w:shd w:val="clear" w:color="auto" w:fill="FFFFFF"/>
    </w:rPr>
  </w:style>
  <w:style w:type="paragraph" w:customStyle="1" w:styleId="217">
    <w:name w:val="方案标题1"/>
    <w:basedOn w:val="47"/>
    <w:qFormat/>
    <w:uiPriority w:val="0"/>
    <w:pPr>
      <w:widowControl/>
      <w:numPr>
        <w:ilvl w:val="0"/>
        <w:numId w:val="9"/>
      </w:numPr>
      <w:shd w:val="clear" w:color="auto" w:fill="FFFFFF"/>
      <w:tabs>
        <w:tab w:val="clear" w:pos="360"/>
      </w:tabs>
      <w:snapToGrid w:val="0"/>
      <w:spacing w:beforeLines="50" w:afterLines="50" w:line="360" w:lineRule="auto"/>
      <w:ind w:firstLine="200" w:firstLineChars="200"/>
      <w:jc w:val="both"/>
    </w:pPr>
    <w:rPr>
      <w:bCs/>
      <w:color w:val="000000"/>
      <w:kern w:val="2"/>
      <w:sz w:val="36"/>
      <w:szCs w:val="32"/>
    </w:rPr>
  </w:style>
  <w:style w:type="paragraph" w:customStyle="1" w:styleId="218">
    <w:name w:val="方案标题2"/>
    <w:basedOn w:val="47"/>
    <w:qFormat/>
    <w:uiPriority w:val="0"/>
    <w:pPr>
      <w:widowControl/>
      <w:numPr>
        <w:ilvl w:val="1"/>
        <w:numId w:val="9"/>
      </w:numPr>
      <w:shd w:val="clear" w:color="auto" w:fill="FFFFFF"/>
      <w:tabs>
        <w:tab w:val="clear" w:pos="360"/>
      </w:tabs>
      <w:snapToGrid w:val="0"/>
      <w:spacing w:beforeLines="50" w:afterLines="50" w:line="360" w:lineRule="auto"/>
      <w:ind w:firstLine="200" w:firstLineChars="200"/>
      <w:jc w:val="left"/>
      <w:outlineLvl w:val="1"/>
    </w:pPr>
    <w:rPr>
      <w:rFonts w:eastAsia="仿宋_GB2312"/>
      <w:bCs/>
      <w:color w:val="000000"/>
      <w:kern w:val="2"/>
      <w:sz w:val="30"/>
      <w:szCs w:val="30"/>
    </w:rPr>
  </w:style>
  <w:style w:type="paragraph" w:customStyle="1" w:styleId="219">
    <w:name w:val="方案标题3"/>
    <w:basedOn w:val="47"/>
    <w:qFormat/>
    <w:uiPriority w:val="0"/>
    <w:pPr>
      <w:widowControl/>
      <w:numPr>
        <w:ilvl w:val="2"/>
        <w:numId w:val="9"/>
      </w:numPr>
      <w:shd w:val="clear" w:color="auto" w:fill="FFFFFF"/>
      <w:tabs>
        <w:tab w:val="clear" w:pos="360"/>
      </w:tabs>
      <w:snapToGrid w:val="0"/>
      <w:spacing w:beforeLines="50" w:afterLines="50" w:line="440" w:lineRule="exact"/>
      <w:ind w:firstLine="200" w:firstLineChars="200"/>
      <w:jc w:val="left"/>
      <w:outlineLvl w:val="2"/>
    </w:pPr>
    <w:rPr>
      <w:rFonts w:ascii="黑体" w:eastAsia="黑体"/>
      <w:bCs/>
      <w:color w:val="000000"/>
      <w:kern w:val="2"/>
      <w:sz w:val="28"/>
      <w:szCs w:val="24"/>
    </w:rPr>
  </w:style>
  <w:style w:type="character" w:customStyle="1" w:styleId="220">
    <w:name w:val="标题 Char"/>
    <w:link w:val="47"/>
    <w:qFormat/>
    <w:uiPriority w:val="0"/>
    <w:rPr>
      <w:rFonts w:ascii="Arial" w:hAnsi="Arial"/>
      <w:b/>
    </w:rPr>
  </w:style>
  <w:style w:type="paragraph" w:customStyle="1" w:styleId="221">
    <w:name w:val="正文Land"/>
    <w:basedOn w:val="1"/>
    <w:qFormat/>
    <w:uiPriority w:val="0"/>
    <w:pPr>
      <w:widowControl/>
      <w:shd w:val="clear" w:color="auto" w:fill="FFFFFF"/>
      <w:tabs>
        <w:tab w:val="left" w:pos="426"/>
      </w:tabs>
      <w:adjustRightInd w:val="0"/>
      <w:snapToGrid w:val="0"/>
      <w:spacing w:beforeLines="20" w:afterLines="50" w:line="360" w:lineRule="auto"/>
      <w:ind w:firstLine="200" w:firstLineChars="200"/>
    </w:pPr>
    <w:rPr>
      <w:rFonts w:ascii="宋体" w:hAnsi="宋体" w:cs="宋体"/>
      <w:color w:val="000000"/>
      <w:kern w:val="0"/>
      <w:sz w:val="24"/>
    </w:rPr>
  </w:style>
  <w:style w:type="paragraph" w:customStyle="1" w:styleId="222">
    <w:name w:val="样式5"/>
    <w:basedOn w:val="1"/>
    <w:qFormat/>
    <w:uiPriority w:val="0"/>
    <w:pPr>
      <w:widowControl/>
      <w:numPr>
        <w:ilvl w:val="0"/>
        <w:numId w:val="10"/>
      </w:numPr>
      <w:shd w:val="clear" w:color="auto" w:fill="FFFFFF"/>
      <w:tabs>
        <w:tab w:val="left" w:pos="426"/>
      </w:tabs>
      <w:adjustRightInd w:val="0"/>
      <w:snapToGrid w:val="0"/>
      <w:spacing w:beforeLines="50" w:afterLines="50" w:line="360" w:lineRule="auto"/>
      <w:ind w:firstLine="0"/>
    </w:pPr>
    <w:rPr>
      <w:rFonts w:ascii="宋体" w:hAnsi="宋体" w:eastAsia="仿宋_GB2312" w:cs="宋体"/>
      <w:color w:val="000000"/>
      <w:kern w:val="0"/>
      <w:sz w:val="24"/>
    </w:rPr>
  </w:style>
  <w:style w:type="paragraph" w:customStyle="1" w:styleId="223">
    <w:name w:val="font6"/>
    <w:basedOn w:val="1"/>
    <w:qFormat/>
    <w:uiPriority w:val="0"/>
    <w:pPr>
      <w:widowControl/>
      <w:shd w:val="clear" w:color="auto" w:fill="FFFFFF"/>
      <w:tabs>
        <w:tab w:val="left" w:pos="426"/>
      </w:tabs>
      <w:adjustRightInd w:val="0"/>
      <w:snapToGrid w:val="0"/>
      <w:spacing w:beforeAutospacing="1" w:afterAutospacing="1" w:line="360" w:lineRule="auto"/>
      <w:jc w:val="left"/>
    </w:pPr>
    <w:rPr>
      <w:rFonts w:ascii="宋体" w:hAnsi="宋体" w:cs="宋体"/>
      <w:kern w:val="0"/>
      <w:sz w:val="18"/>
      <w:szCs w:val="18"/>
    </w:rPr>
  </w:style>
  <w:style w:type="paragraph" w:customStyle="1" w:styleId="224">
    <w:name w:val="xl64"/>
    <w:basedOn w:val="1"/>
    <w:qFormat/>
    <w:uiPriority w:val="0"/>
    <w:pPr>
      <w:widowControl/>
      <w:pBdr>
        <w:top w:val="single" w:color="auto" w:sz="4" w:space="0"/>
        <w:left w:val="single" w:color="auto" w:sz="4" w:space="0"/>
        <w:bottom w:val="single" w:color="auto" w:sz="4" w:space="0"/>
        <w:right w:val="single" w:color="auto" w:sz="4" w:space="0"/>
      </w:pBdr>
      <w:shd w:val="clear" w:color="000000" w:fill="CCFFFF"/>
      <w:tabs>
        <w:tab w:val="left" w:pos="426"/>
      </w:tabs>
      <w:adjustRightInd w:val="0"/>
      <w:snapToGrid w:val="0"/>
      <w:spacing w:beforeAutospacing="1" w:afterAutospacing="1" w:line="360" w:lineRule="auto"/>
      <w:jc w:val="center"/>
    </w:pPr>
    <w:rPr>
      <w:rFonts w:ascii="宋体" w:hAnsi="宋体" w:cs="宋体"/>
      <w:b/>
      <w:bCs/>
      <w:color w:val="000000"/>
      <w:kern w:val="0"/>
      <w:sz w:val="24"/>
    </w:rPr>
  </w:style>
  <w:style w:type="paragraph" w:customStyle="1" w:styleId="225">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DCE6F1"/>
      <w:tabs>
        <w:tab w:val="left" w:pos="426"/>
      </w:tabs>
      <w:adjustRightInd w:val="0"/>
      <w:snapToGrid w:val="0"/>
      <w:spacing w:beforeAutospacing="1" w:afterAutospacing="1" w:line="360" w:lineRule="auto"/>
      <w:jc w:val="center"/>
    </w:pPr>
    <w:rPr>
      <w:rFonts w:ascii="宋体" w:hAnsi="宋体" w:cs="宋体"/>
      <w:b/>
      <w:bCs/>
      <w:color w:val="000000"/>
      <w:kern w:val="0"/>
      <w:sz w:val="24"/>
    </w:rPr>
  </w:style>
  <w:style w:type="paragraph" w:customStyle="1" w:styleId="226">
    <w:name w:val="xl71"/>
    <w:basedOn w:val="1"/>
    <w:qFormat/>
    <w:uiPriority w:val="0"/>
    <w:pPr>
      <w:widowControl/>
      <w:pBdr>
        <w:top w:val="single" w:color="auto" w:sz="4" w:space="0"/>
        <w:left w:val="single" w:color="auto" w:sz="4" w:space="0"/>
        <w:bottom w:val="single" w:color="auto" w:sz="4" w:space="0"/>
        <w:right w:val="single" w:color="auto" w:sz="4" w:space="0"/>
      </w:pBdr>
      <w:shd w:val="clear" w:color="000000" w:fill="DCE6F1"/>
      <w:tabs>
        <w:tab w:val="left" w:pos="426"/>
      </w:tabs>
      <w:adjustRightInd w:val="0"/>
      <w:snapToGrid w:val="0"/>
      <w:spacing w:beforeAutospacing="1" w:afterAutospacing="1" w:line="360" w:lineRule="auto"/>
      <w:jc w:val="center"/>
    </w:pPr>
    <w:rPr>
      <w:rFonts w:ascii="宋体" w:hAnsi="宋体" w:cs="宋体"/>
      <w:color w:val="000000"/>
      <w:kern w:val="0"/>
      <w:sz w:val="24"/>
    </w:rPr>
  </w:style>
  <w:style w:type="paragraph" w:customStyle="1" w:styleId="227">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DCE6F1"/>
      <w:tabs>
        <w:tab w:val="left" w:pos="426"/>
      </w:tabs>
      <w:adjustRightInd w:val="0"/>
      <w:snapToGrid w:val="0"/>
      <w:spacing w:beforeAutospacing="1" w:afterAutospacing="1" w:line="360" w:lineRule="auto"/>
      <w:jc w:val="left"/>
    </w:pPr>
    <w:rPr>
      <w:rFonts w:ascii="宋体" w:hAnsi="宋体" w:cs="宋体"/>
      <w:color w:val="000000"/>
      <w:kern w:val="0"/>
      <w:sz w:val="24"/>
    </w:rPr>
  </w:style>
  <w:style w:type="paragraph" w:customStyle="1" w:styleId="228">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DCE6F1"/>
      <w:tabs>
        <w:tab w:val="left" w:pos="426"/>
      </w:tabs>
      <w:adjustRightInd w:val="0"/>
      <w:snapToGrid w:val="0"/>
      <w:spacing w:beforeAutospacing="1" w:afterAutospacing="1" w:line="360" w:lineRule="auto"/>
      <w:jc w:val="center"/>
    </w:pPr>
    <w:rPr>
      <w:rFonts w:ascii="宋体" w:hAnsi="宋体" w:cs="宋体"/>
      <w:color w:val="000000"/>
      <w:kern w:val="0"/>
      <w:sz w:val="24"/>
    </w:rPr>
  </w:style>
  <w:style w:type="paragraph" w:customStyle="1" w:styleId="229">
    <w:name w:val="xl74"/>
    <w:basedOn w:val="1"/>
    <w:qFormat/>
    <w:uiPriority w:val="0"/>
    <w:pPr>
      <w:widowControl/>
      <w:pBdr>
        <w:top w:val="single" w:color="auto" w:sz="4" w:space="0"/>
        <w:left w:val="single" w:color="auto" w:sz="4" w:space="0"/>
        <w:bottom w:val="single" w:color="auto" w:sz="4" w:space="0"/>
        <w:right w:val="single" w:color="auto" w:sz="4" w:space="0"/>
      </w:pBdr>
      <w:shd w:val="clear" w:color="000000" w:fill="DCE6F1"/>
      <w:tabs>
        <w:tab w:val="left" w:pos="426"/>
      </w:tabs>
      <w:adjustRightInd w:val="0"/>
      <w:snapToGrid w:val="0"/>
      <w:spacing w:beforeAutospacing="1" w:afterAutospacing="1" w:line="360" w:lineRule="auto"/>
      <w:jc w:val="center"/>
    </w:pPr>
    <w:rPr>
      <w:rFonts w:ascii="宋体" w:hAnsi="宋体" w:cs="宋体"/>
      <w:color w:val="000000"/>
      <w:kern w:val="0"/>
      <w:sz w:val="24"/>
    </w:rPr>
  </w:style>
  <w:style w:type="paragraph" w:customStyle="1" w:styleId="230">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tabs>
        <w:tab w:val="left" w:pos="426"/>
      </w:tabs>
      <w:adjustRightInd w:val="0"/>
      <w:snapToGrid w:val="0"/>
      <w:spacing w:beforeAutospacing="1" w:afterAutospacing="1" w:line="360" w:lineRule="auto"/>
      <w:jc w:val="center"/>
    </w:pPr>
    <w:rPr>
      <w:rFonts w:ascii="宋体" w:hAnsi="宋体" w:cs="宋体"/>
      <w:b/>
      <w:bCs/>
      <w:color w:val="000000"/>
      <w:kern w:val="0"/>
      <w:sz w:val="24"/>
    </w:rPr>
  </w:style>
  <w:style w:type="paragraph" w:customStyle="1" w:styleId="231">
    <w:name w:val="xl76"/>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tabs>
        <w:tab w:val="left" w:pos="426"/>
      </w:tabs>
      <w:adjustRightInd w:val="0"/>
      <w:snapToGrid w:val="0"/>
      <w:spacing w:beforeAutospacing="1" w:afterAutospacing="1" w:line="360" w:lineRule="auto"/>
      <w:jc w:val="center"/>
    </w:pPr>
    <w:rPr>
      <w:rFonts w:ascii="宋体" w:hAnsi="宋体" w:cs="宋体"/>
      <w:color w:val="000000"/>
      <w:kern w:val="0"/>
      <w:sz w:val="24"/>
    </w:rPr>
  </w:style>
  <w:style w:type="paragraph" w:customStyle="1" w:styleId="232">
    <w:name w:val="xl77"/>
    <w:basedOn w:val="1"/>
    <w:qFormat/>
    <w:uiPriority w:val="0"/>
    <w:pPr>
      <w:widowControl/>
      <w:pBdr>
        <w:top w:val="single" w:color="auto" w:sz="4" w:space="0"/>
        <w:left w:val="single" w:color="auto" w:sz="4" w:space="0"/>
        <w:bottom w:val="single" w:color="auto" w:sz="4" w:space="0"/>
        <w:right w:val="single" w:color="auto" w:sz="4" w:space="0"/>
      </w:pBdr>
      <w:shd w:val="clear" w:color="000000" w:fill="F2F2F2"/>
      <w:tabs>
        <w:tab w:val="left" w:pos="426"/>
      </w:tabs>
      <w:adjustRightInd w:val="0"/>
      <w:snapToGrid w:val="0"/>
      <w:spacing w:beforeAutospacing="1" w:afterAutospacing="1" w:line="360" w:lineRule="auto"/>
      <w:jc w:val="left"/>
    </w:pPr>
    <w:rPr>
      <w:rFonts w:ascii="宋体" w:hAnsi="宋体" w:cs="宋体"/>
      <w:color w:val="000000"/>
      <w:kern w:val="0"/>
      <w:sz w:val="24"/>
    </w:rPr>
  </w:style>
  <w:style w:type="paragraph" w:customStyle="1" w:styleId="233">
    <w:name w:val="xl78"/>
    <w:basedOn w:val="1"/>
    <w:qFormat/>
    <w:uiPriority w:val="0"/>
    <w:pPr>
      <w:widowControl/>
      <w:pBdr>
        <w:top w:val="single" w:color="auto" w:sz="4" w:space="0"/>
        <w:left w:val="single" w:color="auto" w:sz="4" w:space="0"/>
        <w:bottom w:val="single" w:color="auto" w:sz="4" w:space="0"/>
        <w:right w:val="single" w:color="auto" w:sz="4" w:space="0"/>
      </w:pBdr>
      <w:shd w:val="clear" w:color="000000" w:fill="E4DFEC"/>
      <w:tabs>
        <w:tab w:val="left" w:pos="426"/>
      </w:tabs>
      <w:adjustRightInd w:val="0"/>
      <w:snapToGrid w:val="0"/>
      <w:spacing w:beforeAutospacing="1" w:afterAutospacing="1" w:line="360" w:lineRule="auto"/>
      <w:jc w:val="center"/>
    </w:pPr>
    <w:rPr>
      <w:rFonts w:ascii="宋体" w:hAnsi="宋体" w:cs="宋体"/>
      <w:b/>
      <w:bCs/>
      <w:color w:val="000000"/>
      <w:kern w:val="0"/>
      <w:sz w:val="24"/>
    </w:rPr>
  </w:style>
  <w:style w:type="paragraph" w:customStyle="1" w:styleId="234">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E4DFEC"/>
      <w:tabs>
        <w:tab w:val="left" w:pos="426"/>
      </w:tabs>
      <w:adjustRightInd w:val="0"/>
      <w:snapToGrid w:val="0"/>
      <w:spacing w:beforeAutospacing="1" w:afterAutospacing="1" w:line="360" w:lineRule="auto"/>
      <w:jc w:val="center"/>
    </w:pPr>
    <w:rPr>
      <w:rFonts w:ascii="宋体" w:hAnsi="宋体" w:cs="宋体"/>
      <w:color w:val="000000"/>
      <w:kern w:val="0"/>
      <w:sz w:val="24"/>
    </w:rPr>
  </w:style>
  <w:style w:type="paragraph" w:customStyle="1" w:styleId="235">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E4DFEC"/>
      <w:tabs>
        <w:tab w:val="left" w:pos="426"/>
      </w:tabs>
      <w:adjustRightInd w:val="0"/>
      <w:snapToGrid w:val="0"/>
      <w:spacing w:beforeAutospacing="1" w:afterAutospacing="1" w:line="360" w:lineRule="auto"/>
      <w:jc w:val="left"/>
    </w:pPr>
    <w:rPr>
      <w:rFonts w:ascii="宋体" w:hAnsi="宋体" w:cs="宋体"/>
      <w:color w:val="000000"/>
      <w:kern w:val="0"/>
      <w:sz w:val="24"/>
    </w:rPr>
  </w:style>
  <w:style w:type="paragraph" w:customStyle="1" w:styleId="236">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E4DFEC"/>
      <w:tabs>
        <w:tab w:val="left" w:pos="426"/>
      </w:tabs>
      <w:adjustRightInd w:val="0"/>
      <w:snapToGrid w:val="0"/>
      <w:spacing w:beforeAutospacing="1" w:afterAutospacing="1" w:line="360" w:lineRule="auto"/>
      <w:jc w:val="center"/>
    </w:pPr>
    <w:rPr>
      <w:rFonts w:ascii="宋体" w:hAnsi="宋体" w:cs="宋体"/>
      <w:color w:val="000000"/>
      <w:kern w:val="0"/>
      <w:sz w:val="24"/>
    </w:rPr>
  </w:style>
  <w:style w:type="paragraph" w:customStyle="1" w:styleId="237">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E4DFEC"/>
      <w:tabs>
        <w:tab w:val="left" w:pos="426"/>
      </w:tabs>
      <w:adjustRightInd w:val="0"/>
      <w:snapToGrid w:val="0"/>
      <w:spacing w:beforeAutospacing="1" w:afterAutospacing="1" w:line="360" w:lineRule="auto"/>
      <w:jc w:val="center"/>
    </w:pPr>
    <w:rPr>
      <w:rFonts w:ascii="宋体" w:hAnsi="宋体" w:cs="宋体"/>
      <w:color w:val="000000"/>
      <w:kern w:val="0"/>
      <w:sz w:val="24"/>
    </w:rPr>
  </w:style>
  <w:style w:type="paragraph" w:customStyle="1" w:styleId="238">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tabs>
        <w:tab w:val="left" w:pos="426"/>
      </w:tabs>
      <w:adjustRightInd w:val="0"/>
      <w:snapToGrid w:val="0"/>
      <w:spacing w:beforeAutospacing="1" w:afterAutospacing="1" w:line="360" w:lineRule="auto"/>
      <w:jc w:val="center"/>
    </w:pPr>
    <w:rPr>
      <w:rFonts w:ascii="宋体" w:hAnsi="宋体" w:cs="宋体"/>
      <w:b/>
      <w:bCs/>
      <w:color w:val="000000"/>
      <w:kern w:val="0"/>
      <w:sz w:val="24"/>
    </w:rPr>
  </w:style>
  <w:style w:type="paragraph" w:customStyle="1" w:styleId="239">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D9D9D9"/>
      <w:tabs>
        <w:tab w:val="left" w:pos="426"/>
      </w:tabs>
      <w:adjustRightInd w:val="0"/>
      <w:snapToGrid w:val="0"/>
      <w:spacing w:beforeAutospacing="1" w:afterAutospacing="1" w:line="360" w:lineRule="auto"/>
      <w:jc w:val="left"/>
    </w:pPr>
    <w:rPr>
      <w:rFonts w:ascii="宋体" w:hAnsi="宋体" w:cs="宋体"/>
      <w:color w:val="000000"/>
      <w:kern w:val="0"/>
      <w:sz w:val="24"/>
    </w:rPr>
  </w:style>
  <w:style w:type="paragraph" w:customStyle="1" w:styleId="240">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D9D9D9"/>
      <w:tabs>
        <w:tab w:val="left" w:pos="426"/>
      </w:tabs>
      <w:adjustRightInd w:val="0"/>
      <w:snapToGrid w:val="0"/>
      <w:spacing w:beforeAutospacing="1" w:afterAutospacing="1" w:line="360" w:lineRule="auto"/>
      <w:jc w:val="left"/>
    </w:pPr>
    <w:rPr>
      <w:rFonts w:ascii="宋体" w:hAnsi="宋体" w:cs="宋体"/>
      <w:color w:val="000000"/>
      <w:kern w:val="0"/>
      <w:sz w:val="24"/>
    </w:rPr>
  </w:style>
  <w:style w:type="paragraph" w:customStyle="1" w:styleId="241">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DCE6F1"/>
      <w:tabs>
        <w:tab w:val="left" w:pos="426"/>
      </w:tabs>
      <w:adjustRightInd w:val="0"/>
      <w:snapToGrid w:val="0"/>
      <w:spacing w:beforeAutospacing="1" w:afterAutospacing="1" w:line="360" w:lineRule="auto"/>
      <w:jc w:val="left"/>
    </w:pPr>
    <w:rPr>
      <w:rFonts w:ascii="宋体" w:hAnsi="宋体" w:cs="宋体"/>
      <w:color w:val="000000"/>
      <w:kern w:val="0"/>
      <w:sz w:val="24"/>
    </w:rPr>
  </w:style>
  <w:style w:type="paragraph" w:customStyle="1" w:styleId="242">
    <w:name w:val="xl87"/>
    <w:basedOn w:val="1"/>
    <w:qFormat/>
    <w:uiPriority w:val="0"/>
    <w:pPr>
      <w:widowControl/>
      <w:shd w:val="clear" w:color="auto" w:fill="FFFFFF"/>
      <w:tabs>
        <w:tab w:val="left" w:pos="426"/>
      </w:tabs>
      <w:adjustRightInd w:val="0"/>
      <w:snapToGrid w:val="0"/>
      <w:spacing w:beforeAutospacing="1" w:afterAutospacing="1" w:line="360" w:lineRule="auto"/>
      <w:jc w:val="left"/>
    </w:pPr>
    <w:rPr>
      <w:rFonts w:ascii="宋体" w:hAnsi="宋体" w:cs="宋体"/>
      <w:kern w:val="0"/>
      <w:sz w:val="24"/>
    </w:rPr>
  </w:style>
  <w:style w:type="paragraph" w:customStyle="1" w:styleId="243">
    <w:name w:val="xl8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宋体" w:hAnsi="宋体" w:cs="宋体"/>
      <w:b/>
      <w:bCs/>
      <w:color w:val="000000"/>
      <w:kern w:val="0"/>
      <w:sz w:val="24"/>
    </w:rPr>
  </w:style>
  <w:style w:type="paragraph" w:customStyle="1" w:styleId="244">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CCFFFF"/>
      <w:tabs>
        <w:tab w:val="left" w:pos="426"/>
      </w:tabs>
      <w:adjustRightInd w:val="0"/>
      <w:snapToGrid w:val="0"/>
      <w:spacing w:beforeAutospacing="1" w:afterAutospacing="1" w:line="360" w:lineRule="auto"/>
      <w:jc w:val="center"/>
    </w:pPr>
    <w:rPr>
      <w:rFonts w:ascii="宋体" w:hAnsi="宋体" w:cs="宋体"/>
      <w:b/>
      <w:bCs/>
      <w:color w:val="000000"/>
      <w:kern w:val="0"/>
      <w:sz w:val="24"/>
    </w:rPr>
  </w:style>
  <w:style w:type="paragraph" w:customStyle="1" w:styleId="245">
    <w:name w:val="Bulleted Items--Level 2"/>
    <w:basedOn w:val="1"/>
    <w:qFormat/>
    <w:uiPriority w:val="0"/>
    <w:pPr>
      <w:widowControl/>
      <w:numPr>
        <w:ilvl w:val="0"/>
        <w:numId w:val="11"/>
      </w:numPr>
      <w:shd w:val="clear" w:color="auto" w:fill="FFFFFF"/>
      <w:tabs>
        <w:tab w:val="clear" w:pos="360"/>
      </w:tabs>
      <w:adjustRightInd w:val="0"/>
      <w:snapToGrid w:val="0"/>
      <w:spacing w:line="280" w:lineRule="exact"/>
      <w:ind w:left="2520" w:firstLine="0"/>
    </w:pPr>
    <w:rPr>
      <w:rFonts w:ascii="宋体" w:hAnsi="宋体" w:cs="宋体"/>
      <w:color w:val="000000"/>
      <w:kern w:val="0"/>
      <w:sz w:val="22"/>
      <w:szCs w:val="20"/>
      <w:lang w:eastAsia="en-US"/>
    </w:rPr>
  </w:style>
  <w:style w:type="paragraph" w:customStyle="1" w:styleId="246">
    <w:name w:val="xl9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left"/>
    </w:pPr>
    <w:rPr>
      <w:rFonts w:ascii="仿宋_GB2312" w:hAnsi="宋体" w:eastAsia="仿宋_GB2312" w:cs="宋体"/>
      <w:kern w:val="0"/>
      <w:sz w:val="22"/>
      <w:szCs w:val="22"/>
    </w:rPr>
  </w:style>
  <w:style w:type="paragraph" w:customStyle="1" w:styleId="247">
    <w:name w:val="xl91"/>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left"/>
    </w:pPr>
    <w:rPr>
      <w:rFonts w:ascii="仿宋_GB2312" w:hAnsi="宋体" w:eastAsia="仿宋_GB2312" w:cs="宋体"/>
      <w:color w:val="000000"/>
      <w:kern w:val="0"/>
      <w:sz w:val="22"/>
      <w:szCs w:val="22"/>
    </w:rPr>
  </w:style>
  <w:style w:type="paragraph" w:customStyle="1" w:styleId="248">
    <w:name w:val="xl9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left"/>
    </w:pPr>
    <w:rPr>
      <w:rFonts w:ascii="仿宋_GB2312" w:hAnsi="宋体" w:eastAsia="仿宋_GB2312" w:cs="宋体"/>
      <w:kern w:val="0"/>
      <w:sz w:val="20"/>
      <w:szCs w:val="20"/>
    </w:rPr>
  </w:style>
  <w:style w:type="paragraph" w:customStyle="1" w:styleId="249">
    <w:name w:val="xl93"/>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仿宋_GB2312" w:hAnsi="宋体" w:eastAsia="仿宋_GB2312" w:cs="宋体"/>
      <w:kern w:val="0"/>
      <w:sz w:val="22"/>
      <w:szCs w:val="22"/>
    </w:rPr>
  </w:style>
  <w:style w:type="paragraph" w:customStyle="1" w:styleId="250">
    <w:name w:val="xl9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宋体" w:hAnsi="宋体" w:cs="宋体"/>
      <w:kern w:val="0"/>
      <w:sz w:val="22"/>
      <w:szCs w:val="22"/>
    </w:rPr>
  </w:style>
  <w:style w:type="paragraph" w:customStyle="1" w:styleId="251">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99CC00"/>
      <w:tabs>
        <w:tab w:val="left" w:pos="426"/>
      </w:tabs>
      <w:adjustRightInd w:val="0"/>
      <w:snapToGrid w:val="0"/>
      <w:spacing w:beforeAutospacing="1" w:afterAutospacing="1" w:line="360" w:lineRule="auto"/>
      <w:jc w:val="center"/>
    </w:pPr>
    <w:rPr>
      <w:rFonts w:ascii="宋体" w:hAnsi="宋体" w:cs="宋体"/>
      <w:kern w:val="0"/>
      <w:sz w:val="22"/>
      <w:szCs w:val="22"/>
    </w:rPr>
  </w:style>
  <w:style w:type="paragraph" w:customStyle="1" w:styleId="252">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tabs>
        <w:tab w:val="left" w:pos="426"/>
      </w:tabs>
      <w:adjustRightInd w:val="0"/>
      <w:snapToGrid w:val="0"/>
      <w:spacing w:beforeAutospacing="1" w:afterAutospacing="1" w:line="360" w:lineRule="auto"/>
      <w:jc w:val="center"/>
    </w:pPr>
    <w:rPr>
      <w:rFonts w:ascii="宋体" w:hAnsi="宋体" w:cs="宋体"/>
      <w:kern w:val="0"/>
      <w:sz w:val="22"/>
      <w:szCs w:val="22"/>
    </w:rPr>
  </w:style>
  <w:style w:type="paragraph" w:customStyle="1" w:styleId="253">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99CC"/>
      <w:tabs>
        <w:tab w:val="left" w:pos="426"/>
      </w:tabs>
      <w:adjustRightInd w:val="0"/>
      <w:snapToGrid w:val="0"/>
      <w:spacing w:beforeAutospacing="1" w:afterAutospacing="1" w:line="360" w:lineRule="auto"/>
      <w:jc w:val="center"/>
    </w:pPr>
    <w:rPr>
      <w:rFonts w:ascii="宋体" w:hAnsi="宋体" w:cs="宋体"/>
      <w:kern w:val="0"/>
      <w:sz w:val="22"/>
      <w:szCs w:val="22"/>
    </w:rPr>
  </w:style>
  <w:style w:type="paragraph" w:customStyle="1" w:styleId="254">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6600"/>
      <w:tabs>
        <w:tab w:val="left" w:pos="426"/>
      </w:tabs>
      <w:adjustRightInd w:val="0"/>
      <w:snapToGrid w:val="0"/>
      <w:spacing w:beforeAutospacing="1" w:afterAutospacing="1" w:line="360" w:lineRule="auto"/>
      <w:jc w:val="center"/>
    </w:pPr>
    <w:rPr>
      <w:rFonts w:ascii="宋体" w:hAnsi="宋体" w:cs="宋体"/>
      <w:kern w:val="0"/>
      <w:sz w:val="22"/>
      <w:szCs w:val="22"/>
    </w:rPr>
  </w:style>
  <w:style w:type="paragraph" w:customStyle="1" w:styleId="255">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3366FF"/>
      <w:tabs>
        <w:tab w:val="left" w:pos="426"/>
      </w:tabs>
      <w:adjustRightInd w:val="0"/>
      <w:snapToGrid w:val="0"/>
      <w:spacing w:beforeAutospacing="1" w:afterAutospacing="1" w:line="360" w:lineRule="auto"/>
      <w:jc w:val="center"/>
    </w:pPr>
    <w:rPr>
      <w:rFonts w:ascii="宋体" w:hAnsi="宋体" w:cs="宋体"/>
      <w:kern w:val="0"/>
      <w:sz w:val="22"/>
      <w:szCs w:val="22"/>
    </w:rPr>
  </w:style>
  <w:style w:type="paragraph" w:customStyle="1" w:styleId="256">
    <w:name w:val="xl10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left"/>
    </w:pPr>
    <w:rPr>
      <w:rFonts w:ascii="仿宋_GB2312" w:hAnsi="宋体" w:eastAsia="仿宋_GB2312" w:cs="宋体"/>
      <w:color w:val="FF0000"/>
      <w:kern w:val="0"/>
      <w:sz w:val="22"/>
      <w:szCs w:val="22"/>
    </w:rPr>
  </w:style>
  <w:style w:type="paragraph" w:customStyle="1" w:styleId="257">
    <w:name w:val="xl101"/>
    <w:basedOn w:val="1"/>
    <w:qFormat/>
    <w:uiPriority w:val="0"/>
    <w:pPr>
      <w:widowControl/>
      <w:shd w:val="clear" w:color="auto" w:fill="FFFFFF"/>
      <w:tabs>
        <w:tab w:val="left" w:pos="426"/>
      </w:tabs>
      <w:adjustRightInd w:val="0"/>
      <w:snapToGrid w:val="0"/>
      <w:spacing w:beforeAutospacing="1" w:afterAutospacing="1" w:line="360" w:lineRule="auto"/>
      <w:jc w:val="left"/>
    </w:pPr>
    <w:rPr>
      <w:rFonts w:ascii="宋体" w:hAnsi="宋体" w:cs="宋体"/>
      <w:color w:val="FF0000"/>
      <w:kern w:val="0"/>
      <w:sz w:val="20"/>
      <w:szCs w:val="20"/>
    </w:rPr>
  </w:style>
  <w:style w:type="paragraph" w:customStyle="1" w:styleId="258">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tabs>
        <w:tab w:val="left" w:pos="426"/>
      </w:tabs>
      <w:adjustRightInd w:val="0"/>
      <w:snapToGrid w:val="0"/>
      <w:spacing w:beforeAutospacing="1" w:afterAutospacing="1" w:line="360" w:lineRule="auto"/>
      <w:jc w:val="left"/>
    </w:pPr>
    <w:rPr>
      <w:rFonts w:ascii="仿宋_GB2312" w:hAnsi="宋体" w:eastAsia="仿宋_GB2312" w:cs="宋体"/>
      <w:color w:val="FF0000"/>
      <w:kern w:val="0"/>
      <w:sz w:val="22"/>
      <w:szCs w:val="22"/>
    </w:rPr>
  </w:style>
  <w:style w:type="paragraph" w:customStyle="1" w:styleId="259">
    <w:name w:val="xl103"/>
    <w:basedOn w:val="1"/>
    <w:qFormat/>
    <w:uiPriority w:val="0"/>
    <w:pPr>
      <w:widowControl/>
      <w:shd w:val="clear" w:color="auto" w:fill="FFFFFF"/>
      <w:tabs>
        <w:tab w:val="left" w:pos="426"/>
      </w:tabs>
      <w:adjustRightInd w:val="0"/>
      <w:snapToGrid w:val="0"/>
      <w:spacing w:beforeAutospacing="1" w:afterAutospacing="1" w:line="360" w:lineRule="auto"/>
      <w:jc w:val="left"/>
    </w:pPr>
    <w:rPr>
      <w:rFonts w:ascii="宋体" w:hAnsi="宋体" w:cs="宋体"/>
      <w:color w:val="FF0000"/>
      <w:kern w:val="0"/>
      <w:sz w:val="22"/>
      <w:szCs w:val="22"/>
    </w:rPr>
  </w:style>
  <w:style w:type="paragraph" w:customStyle="1" w:styleId="260">
    <w:name w:val="xl104"/>
    <w:basedOn w:val="1"/>
    <w:qFormat/>
    <w:uiPriority w:val="0"/>
    <w:pPr>
      <w:widowControl/>
      <w:shd w:val="clear" w:color="auto" w:fill="FFFFFF"/>
      <w:tabs>
        <w:tab w:val="left" w:pos="426"/>
      </w:tabs>
      <w:adjustRightInd w:val="0"/>
      <w:snapToGrid w:val="0"/>
      <w:spacing w:beforeAutospacing="1" w:afterAutospacing="1" w:line="360" w:lineRule="auto"/>
      <w:jc w:val="center"/>
    </w:pPr>
    <w:rPr>
      <w:rFonts w:ascii="宋体" w:hAnsi="宋体" w:cs="宋体"/>
      <w:kern w:val="0"/>
      <w:sz w:val="24"/>
    </w:rPr>
  </w:style>
  <w:style w:type="paragraph" w:customStyle="1" w:styleId="261">
    <w:name w:val="xl10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仿宋_GB2312" w:hAnsi="宋体" w:eastAsia="仿宋_GB2312" w:cs="宋体"/>
      <w:b/>
      <w:bCs/>
      <w:kern w:val="0"/>
      <w:sz w:val="18"/>
      <w:szCs w:val="18"/>
    </w:rPr>
  </w:style>
  <w:style w:type="paragraph" w:customStyle="1" w:styleId="262">
    <w:name w:val="xl106"/>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Courier New" w:hAnsi="Courier New" w:cs="Courier New"/>
      <w:kern w:val="0"/>
      <w:sz w:val="22"/>
      <w:szCs w:val="22"/>
    </w:rPr>
  </w:style>
  <w:style w:type="paragraph" w:customStyle="1" w:styleId="263">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tabs>
        <w:tab w:val="left" w:pos="426"/>
      </w:tabs>
      <w:adjustRightInd w:val="0"/>
      <w:snapToGrid w:val="0"/>
      <w:spacing w:beforeAutospacing="1" w:afterAutospacing="1" w:line="360" w:lineRule="auto"/>
      <w:jc w:val="center"/>
    </w:pPr>
    <w:rPr>
      <w:rFonts w:ascii="Courier New" w:hAnsi="Courier New" w:cs="Courier New"/>
      <w:kern w:val="0"/>
      <w:sz w:val="22"/>
      <w:szCs w:val="22"/>
    </w:rPr>
  </w:style>
  <w:style w:type="paragraph" w:customStyle="1" w:styleId="264">
    <w:name w:val="xl10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Courier New" w:hAnsi="Courier New" w:cs="Courier New"/>
      <w:kern w:val="0"/>
      <w:sz w:val="22"/>
      <w:szCs w:val="22"/>
    </w:rPr>
  </w:style>
  <w:style w:type="paragraph" w:customStyle="1" w:styleId="265">
    <w:name w:val="xl109"/>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Courier New" w:hAnsi="Courier New" w:cs="Courier New"/>
      <w:color w:val="FF0000"/>
      <w:kern w:val="0"/>
      <w:sz w:val="22"/>
      <w:szCs w:val="22"/>
    </w:rPr>
  </w:style>
  <w:style w:type="paragraph" w:customStyle="1" w:styleId="266">
    <w:name w:val="xl11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仿宋_GB2312" w:hAnsi="宋体" w:eastAsia="仿宋_GB2312" w:cs="宋体"/>
      <w:color w:val="000000"/>
      <w:kern w:val="0"/>
      <w:sz w:val="22"/>
      <w:szCs w:val="22"/>
    </w:rPr>
  </w:style>
  <w:style w:type="paragraph" w:customStyle="1" w:styleId="267">
    <w:name w:val="xl111"/>
    <w:basedOn w:val="1"/>
    <w:qFormat/>
    <w:uiPriority w:val="0"/>
    <w:pPr>
      <w:widowControl/>
      <w:pBdr>
        <w:top w:val="single" w:color="auto" w:sz="4" w:space="0"/>
        <w:left w:val="single" w:color="auto" w:sz="4" w:space="0"/>
        <w:bottom w:val="single" w:color="auto" w:sz="4" w:space="0"/>
        <w:right w:val="single" w:color="auto" w:sz="4" w:space="0"/>
      </w:pBdr>
      <w:shd w:val="clear" w:color="000000" w:fill="99CC00"/>
      <w:tabs>
        <w:tab w:val="left" w:pos="426"/>
      </w:tabs>
      <w:adjustRightInd w:val="0"/>
      <w:snapToGrid w:val="0"/>
      <w:spacing w:beforeAutospacing="1" w:afterAutospacing="1" w:line="360" w:lineRule="auto"/>
      <w:jc w:val="center"/>
    </w:pPr>
    <w:rPr>
      <w:rFonts w:ascii="仿宋_GB2312" w:hAnsi="宋体" w:eastAsia="仿宋_GB2312" w:cs="宋体"/>
      <w:kern w:val="0"/>
      <w:sz w:val="22"/>
      <w:szCs w:val="22"/>
    </w:rPr>
  </w:style>
  <w:style w:type="paragraph" w:customStyle="1" w:styleId="268">
    <w:name w:val="xl11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宋体" w:hAnsi="宋体" w:cs="宋体"/>
      <w:color w:val="FF0000"/>
      <w:kern w:val="0"/>
      <w:sz w:val="20"/>
      <w:szCs w:val="20"/>
    </w:rPr>
  </w:style>
  <w:style w:type="paragraph" w:customStyle="1" w:styleId="269">
    <w:name w:val="xl113"/>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宋体" w:hAnsi="宋体" w:cs="宋体"/>
      <w:kern w:val="0"/>
      <w:sz w:val="20"/>
      <w:szCs w:val="20"/>
    </w:rPr>
  </w:style>
  <w:style w:type="paragraph" w:customStyle="1" w:styleId="270">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99CC"/>
      <w:tabs>
        <w:tab w:val="left" w:pos="426"/>
      </w:tabs>
      <w:adjustRightInd w:val="0"/>
      <w:snapToGrid w:val="0"/>
      <w:spacing w:beforeAutospacing="1" w:afterAutospacing="1" w:line="360" w:lineRule="auto"/>
      <w:jc w:val="center"/>
    </w:pPr>
    <w:rPr>
      <w:rFonts w:ascii="仿宋_GB2312" w:hAnsi="宋体" w:eastAsia="仿宋_GB2312" w:cs="宋体"/>
      <w:kern w:val="0"/>
      <w:sz w:val="22"/>
      <w:szCs w:val="22"/>
    </w:rPr>
  </w:style>
  <w:style w:type="paragraph" w:customStyle="1" w:styleId="271">
    <w:name w:val="xl11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仿宋_GB2312" w:hAnsi="宋体" w:eastAsia="仿宋_GB2312" w:cs="宋体"/>
      <w:color w:val="FF0000"/>
      <w:kern w:val="0"/>
      <w:sz w:val="22"/>
      <w:szCs w:val="22"/>
    </w:rPr>
  </w:style>
  <w:style w:type="paragraph" w:customStyle="1" w:styleId="272">
    <w:name w:val="xl116"/>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仿宋_GB2312" w:hAnsi="宋体" w:eastAsia="仿宋_GB2312" w:cs="宋体"/>
      <w:color w:val="FF0000"/>
      <w:kern w:val="0"/>
      <w:sz w:val="22"/>
      <w:szCs w:val="22"/>
    </w:rPr>
  </w:style>
  <w:style w:type="paragraph" w:customStyle="1" w:styleId="273">
    <w:name w:val="xl117"/>
    <w:basedOn w:val="1"/>
    <w:qFormat/>
    <w:uiPriority w:val="0"/>
    <w:pPr>
      <w:widowControl/>
      <w:pBdr>
        <w:top w:val="single" w:color="auto" w:sz="4" w:space="0"/>
        <w:left w:val="single" w:color="auto" w:sz="4" w:space="0"/>
        <w:bottom w:val="single" w:color="auto" w:sz="4" w:space="0"/>
        <w:right w:val="single" w:color="auto" w:sz="4" w:space="0"/>
      </w:pBdr>
      <w:shd w:val="clear" w:color="000000" w:fill="FF99CC"/>
      <w:tabs>
        <w:tab w:val="left" w:pos="426"/>
      </w:tabs>
      <w:adjustRightInd w:val="0"/>
      <w:snapToGrid w:val="0"/>
      <w:spacing w:beforeAutospacing="1" w:afterAutospacing="1" w:line="360" w:lineRule="auto"/>
      <w:jc w:val="center"/>
    </w:pPr>
    <w:rPr>
      <w:rFonts w:ascii="仿宋_GB2312" w:hAnsi="宋体" w:eastAsia="仿宋_GB2312" w:cs="宋体"/>
      <w:color w:val="FF0000"/>
      <w:kern w:val="0"/>
      <w:sz w:val="22"/>
      <w:szCs w:val="22"/>
    </w:rPr>
  </w:style>
  <w:style w:type="paragraph" w:customStyle="1" w:styleId="274">
    <w:name w:val="xl11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宋体" w:hAnsi="宋体" w:cs="宋体"/>
      <w:color w:val="FF0000"/>
      <w:kern w:val="0"/>
      <w:sz w:val="20"/>
      <w:szCs w:val="20"/>
    </w:rPr>
  </w:style>
  <w:style w:type="paragraph" w:customStyle="1" w:styleId="275">
    <w:name w:val="xl119"/>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仿宋_GB2312" w:hAnsi="宋体" w:eastAsia="仿宋_GB2312" w:cs="宋体"/>
      <w:kern w:val="0"/>
      <w:sz w:val="22"/>
      <w:szCs w:val="22"/>
    </w:rPr>
  </w:style>
  <w:style w:type="paragraph" w:customStyle="1" w:styleId="276">
    <w:name w:val="xl12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仿宋_GB2312" w:hAnsi="宋体" w:eastAsia="仿宋_GB2312" w:cs="宋体"/>
      <w:kern w:val="0"/>
      <w:sz w:val="22"/>
      <w:szCs w:val="22"/>
    </w:rPr>
  </w:style>
  <w:style w:type="paragraph" w:customStyle="1" w:styleId="277">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FF99CC"/>
      <w:tabs>
        <w:tab w:val="left" w:pos="426"/>
      </w:tabs>
      <w:adjustRightInd w:val="0"/>
      <w:snapToGrid w:val="0"/>
      <w:spacing w:beforeAutospacing="1" w:afterAutospacing="1" w:line="360" w:lineRule="auto"/>
      <w:jc w:val="center"/>
    </w:pPr>
    <w:rPr>
      <w:rFonts w:ascii="Courier New" w:hAnsi="Courier New" w:cs="Courier New"/>
      <w:kern w:val="0"/>
      <w:sz w:val="22"/>
      <w:szCs w:val="22"/>
    </w:rPr>
  </w:style>
  <w:style w:type="paragraph" w:customStyle="1" w:styleId="278">
    <w:name w:val="xl122"/>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仿宋_GB2312" w:hAnsi="宋体" w:eastAsia="仿宋_GB2312" w:cs="宋体"/>
      <w:kern w:val="0"/>
      <w:sz w:val="22"/>
      <w:szCs w:val="22"/>
    </w:rPr>
  </w:style>
  <w:style w:type="paragraph" w:customStyle="1" w:styleId="279">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FF6600"/>
      <w:tabs>
        <w:tab w:val="left" w:pos="426"/>
      </w:tabs>
      <w:adjustRightInd w:val="0"/>
      <w:snapToGrid w:val="0"/>
      <w:spacing w:beforeAutospacing="1" w:afterAutospacing="1" w:line="360" w:lineRule="auto"/>
      <w:jc w:val="center"/>
    </w:pPr>
    <w:rPr>
      <w:rFonts w:ascii="仿宋_GB2312" w:hAnsi="宋体" w:eastAsia="仿宋_GB2312" w:cs="宋体"/>
      <w:kern w:val="0"/>
      <w:sz w:val="22"/>
      <w:szCs w:val="22"/>
    </w:rPr>
  </w:style>
  <w:style w:type="paragraph" w:customStyle="1" w:styleId="280">
    <w:name w:val="xl124"/>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仿宋_GB2312" w:hAnsi="宋体" w:eastAsia="仿宋_GB2312" w:cs="宋体"/>
      <w:kern w:val="0"/>
      <w:sz w:val="24"/>
    </w:rPr>
  </w:style>
  <w:style w:type="paragraph" w:customStyle="1" w:styleId="281">
    <w:name w:val="xl125"/>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宋体" w:hAnsi="宋体" w:cs="宋体"/>
      <w:kern w:val="0"/>
      <w:sz w:val="22"/>
      <w:szCs w:val="22"/>
    </w:rPr>
  </w:style>
  <w:style w:type="paragraph" w:customStyle="1" w:styleId="282">
    <w:name w:val="xl126"/>
    <w:basedOn w:val="1"/>
    <w:qFormat/>
    <w:uiPriority w:val="0"/>
    <w:pPr>
      <w:widowControl/>
      <w:pBdr>
        <w:top w:val="single" w:color="auto" w:sz="4" w:space="0"/>
        <w:left w:val="single" w:color="auto" w:sz="4" w:space="0"/>
        <w:bottom w:val="single" w:color="auto" w:sz="4" w:space="0"/>
        <w:right w:val="single" w:color="auto" w:sz="4" w:space="0"/>
      </w:pBdr>
      <w:shd w:val="clear" w:color="000000" w:fill="FF6600"/>
      <w:tabs>
        <w:tab w:val="left" w:pos="426"/>
      </w:tabs>
      <w:adjustRightInd w:val="0"/>
      <w:snapToGrid w:val="0"/>
      <w:spacing w:beforeAutospacing="1" w:afterAutospacing="1" w:line="360" w:lineRule="auto"/>
      <w:jc w:val="center"/>
    </w:pPr>
    <w:rPr>
      <w:rFonts w:ascii="仿宋_GB2312" w:hAnsi="宋体" w:eastAsia="仿宋_GB2312" w:cs="宋体"/>
      <w:kern w:val="0"/>
      <w:sz w:val="22"/>
      <w:szCs w:val="22"/>
    </w:rPr>
  </w:style>
  <w:style w:type="paragraph" w:customStyle="1" w:styleId="283">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3366FF"/>
      <w:tabs>
        <w:tab w:val="left" w:pos="426"/>
      </w:tabs>
      <w:adjustRightInd w:val="0"/>
      <w:snapToGrid w:val="0"/>
      <w:spacing w:beforeAutospacing="1" w:afterAutospacing="1" w:line="360" w:lineRule="auto"/>
      <w:jc w:val="center"/>
    </w:pPr>
    <w:rPr>
      <w:rFonts w:ascii="仿宋_GB2312" w:hAnsi="宋体" w:eastAsia="仿宋_GB2312" w:cs="宋体"/>
      <w:kern w:val="0"/>
      <w:sz w:val="22"/>
      <w:szCs w:val="22"/>
    </w:rPr>
  </w:style>
  <w:style w:type="paragraph" w:customStyle="1" w:styleId="284">
    <w:name w:val="xl12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宋体" w:hAnsi="宋体" w:cs="宋体"/>
      <w:kern w:val="0"/>
      <w:sz w:val="22"/>
      <w:szCs w:val="22"/>
    </w:rPr>
  </w:style>
  <w:style w:type="paragraph" w:customStyle="1" w:styleId="285">
    <w:name w:val="xl129"/>
    <w:basedOn w:val="1"/>
    <w:qFormat/>
    <w:uiPriority w:val="0"/>
    <w:pPr>
      <w:widowControl/>
      <w:pBdr>
        <w:top w:val="single" w:color="auto" w:sz="4" w:space="0"/>
        <w:left w:val="single" w:color="auto" w:sz="4" w:space="0"/>
        <w:bottom w:val="single" w:color="auto" w:sz="4" w:space="0"/>
        <w:right w:val="single" w:color="auto" w:sz="4" w:space="0"/>
      </w:pBdr>
      <w:shd w:val="clear" w:color="000000" w:fill="3366FF"/>
      <w:tabs>
        <w:tab w:val="left" w:pos="426"/>
      </w:tabs>
      <w:adjustRightInd w:val="0"/>
      <w:snapToGrid w:val="0"/>
      <w:spacing w:beforeAutospacing="1" w:afterAutospacing="1" w:line="360" w:lineRule="auto"/>
      <w:jc w:val="center"/>
    </w:pPr>
    <w:rPr>
      <w:rFonts w:ascii="仿宋_GB2312" w:hAnsi="宋体" w:eastAsia="仿宋_GB2312" w:cs="宋体"/>
      <w:color w:val="FF0000"/>
      <w:kern w:val="0"/>
      <w:sz w:val="22"/>
      <w:szCs w:val="22"/>
    </w:rPr>
  </w:style>
  <w:style w:type="paragraph" w:customStyle="1" w:styleId="286">
    <w:name w:val="xl130"/>
    <w:basedOn w:val="1"/>
    <w:qFormat/>
    <w:uiPriority w:val="0"/>
    <w:pPr>
      <w:widowControl/>
      <w:pBdr>
        <w:top w:val="single" w:color="auto" w:sz="4" w:space="0"/>
        <w:left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宋体" w:hAnsi="宋体" w:cs="宋体"/>
      <w:color w:val="FF0000"/>
      <w:kern w:val="0"/>
      <w:sz w:val="22"/>
      <w:szCs w:val="22"/>
    </w:rPr>
  </w:style>
  <w:style w:type="paragraph" w:customStyle="1" w:styleId="287">
    <w:name w:val="xl131"/>
    <w:basedOn w:val="1"/>
    <w:qFormat/>
    <w:uiPriority w:val="0"/>
    <w:pPr>
      <w:widowControl/>
      <w:pBdr>
        <w:top w:val="single" w:color="auto" w:sz="4" w:space="0"/>
        <w:left w:val="single" w:color="auto" w:sz="4" w:space="0"/>
        <w:bottom w:val="single" w:color="auto" w:sz="4" w:space="0"/>
      </w:pBdr>
      <w:shd w:val="clear" w:color="auto" w:fill="FFFFFF"/>
      <w:tabs>
        <w:tab w:val="left" w:pos="426"/>
      </w:tabs>
      <w:adjustRightInd w:val="0"/>
      <w:snapToGrid w:val="0"/>
      <w:spacing w:beforeAutospacing="1" w:afterAutospacing="1" w:line="360" w:lineRule="auto"/>
      <w:jc w:val="center"/>
    </w:pPr>
    <w:rPr>
      <w:rFonts w:ascii="黑体" w:hAnsi="黑体" w:eastAsia="黑体" w:cs="宋体"/>
      <w:b/>
      <w:bCs/>
      <w:kern w:val="0"/>
      <w:sz w:val="28"/>
      <w:szCs w:val="28"/>
    </w:rPr>
  </w:style>
  <w:style w:type="paragraph" w:customStyle="1" w:styleId="288">
    <w:name w:val="xl132"/>
    <w:basedOn w:val="1"/>
    <w:qFormat/>
    <w:uiPriority w:val="0"/>
    <w:pPr>
      <w:widowControl/>
      <w:pBdr>
        <w:top w:val="single" w:color="auto" w:sz="4" w:space="0"/>
        <w:bottom w:val="single" w:color="auto" w:sz="4" w:space="0"/>
      </w:pBdr>
      <w:shd w:val="clear" w:color="auto" w:fill="FFFFFF"/>
      <w:tabs>
        <w:tab w:val="left" w:pos="426"/>
      </w:tabs>
      <w:adjustRightInd w:val="0"/>
      <w:snapToGrid w:val="0"/>
      <w:spacing w:beforeAutospacing="1" w:afterAutospacing="1" w:line="360" w:lineRule="auto"/>
      <w:jc w:val="center"/>
    </w:pPr>
    <w:rPr>
      <w:rFonts w:ascii="黑体" w:hAnsi="黑体" w:eastAsia="黑体" w:cs="宋体"/>
      <w:b/>
      <w:bCs/>
      <w:kern w:val="0"/>
      <w:sz w:val="28"/>
      <w:szCs w:val="28"/>
    </w:rPr>
  </w:style>
  <w:style w:type="paragraph" w:customStyle="1" w:styleId="289">
    <w:name w:val="xl133"/>
    <w:basedOn w:val="1"/>
    <w:qFormat/>
    <w:uiPriority w:val="0"/>
    <w:pPr>
      <w:widowControl/>
      <w:pBdr>
        <w:top w:val="single" w:color="auto" w:sz="4" w:space="0"/>
        <w:bottom w:val="single" w:color="auto" w:sz="4" w:space="0"/>
        <w:right w:val="single" w:color="auto" w:sz="4" w:space="0"/>
      </w:pBdr>
      <w:shd w:val="clear" w:color="auto" w:fill="FFFFFF"/>
      <w:tabs>
        <w:tab w:val="left" w:pos="426"/>
      </w:tabs>
      <w:adjustRightInd w:val="0"/>
      <w:snapToGrid w:val="0"/>
      <w:spacing w:beforeAutospacing="1" w:afterAutospacing="1" w:line="360" w:lineRule="auto"/>
      <w:jc w:val="center"/>
    </w:pPr>
    <w:rPr>
      <w:rFonts w:ascii="黑体" w:hAnsi="黑体" w:eastAsia="黑体" w:cs="宋体"/>
      <w:b/>
      <w:bCs/>
      <w:kern w:val="0"/>
      <w:sz w:val="28"/>
      <w:szCs w:val="28"/>
    </w:rPr>
  </w:style>
  <w:style w:type="paragraph" w:customStyle="1" w:styleId="290">
    <w:name w:val="样式 首行缩进:  0 字符"/>
    <w:basedOn w:val="1"/>
    <w:qFormat/>
    <w:uiPriority w:val="0"/>
    <w:pPr>
      <w:widowControl/>
      <w:shd w:val="clear" w:color="auto" w:fill="FFFFFF"/>
      <w:tabs>
        <w:tab w:val="left" w:pos="426"/>
      </w:tabs>
      <w:adjustRightInd w:val="0"/>
      <w:snapToGrid w:val="0"/>
      <w:spacing w:line="360" w:lineRule="auto"/>
      <w:ind w:firstLine="200" w:firstLineChars="200"/>
    </w:pPr>
    <w:rPr>
      <w:rFonts w:ascii="宋体" w:hAnsi="宋体" w:cs="宋体"/>
      <w:kern w:val="0"/>
      <w:sz w:val="24"/>
      <w:szCs w:val="20"/>
    </w:rPr>
  </w:style>
  <w:style w:type="paragraph" w:customStyle="1" w:styleId="291">
    <w:name w:val="5"/>
    <w:basedOn w:val="1"/>
    <w:qFormat/>
    <w:uiPriority w:val="0"/>
    <w:pPr>
      <w:widowControl/>
      <w:shd w:val="clear" w:color="auto" w:fill="FFFFFF"/>
      <w:tabs>
        <w:tab w:val="left" w:pos="426"/>
      </w:tabs>
      <w:adjustRightInd w:val="0"/>
      <w:snapToGrid w:val="0"/>
      <w:spacing w:line="360" w:lineRule="auto"/>
      <w:ind w:firstLine="200" w:firstLineChars="200"/>
      <w:jc w:val="left"/>
    </w:pPr>
    <w:rPr>
      <w:rFonts w:ascii="宋体" w:hAnsi="宋体" w:cs="宋体"/>
      <w:kern w:val="0"/>
      <w:sz w:val="24"/>
    </w:rPr>
  </w:style>
  <w:style w:type="paragraph" w:customStyle="1" w:styleId="292">
    <w:name w:val="正文1"/>
    <w:qFormat/>
    <w:uiPriority w:val="0"/>
    <w:pPr>
      <w:widowControl w:val="0"/>
      <w:adjustRightInd w:val="0"/>
      <w:spacing w:line="312" w:lineRule="atLeast"/>
      <w:jc w:val="both"/>
    </w:pPr>
    <w:rPr>
      <w:rFonts w:ascii="宋体" w:hAnsi="Times New Roman" w:eastAsia="宋体" w:cs="Times New Roman"/>
      <w:sz w:val="28"/>
      <w:lang w:val="en-US" w:eastAsia="zh-CN" w:bidi="ar-SA"/>
    </w:rPr>
  </w:style>
  <w:style w:type="paragraph" w:customStyle="1" w:styleId="293">
    <w:name w:val="附件标题"/>
    <w:basedOn w:val="1"/>
    <w:qFormat/>
    <w:uiPriority w:val="0"/>
    <w:pPr>
      <w:widowControl/>
      <w:shd w:val="clear" w:color="auto" w:fill="FFFFFF"/>
      <w:tabs>
        <w:tab w:val="left" w:pos="426"/>
      </w:tabs>
      <w:adjustRightInd w:val="0"/>
      <w:snapToGrid w:val="0"/>
      <w:spacing w:line="360" w:lineRule="auto"/>
      <w:ind w:firstLine="200" w:firstLineChars="200"/>
      <w:jc w:val="center"/>
    </w:pPr>
    <w:rPr>
      <w:rFonts w:ascii="Arial" w:hAnsi="Arial" w:eastAsia="黑体" w:cs="宋体"/>
      <w:kern w:val="0"/>
      <w:sz w:val="24"/>
    </w:rPr>
  </w:style>
  <w:style w:type="paragraph" w:customStyle="1" w:styleId="294">
    <w:name w:val="附件(1)"/>
    <w:basedOn w:val="1"/>
    <w:qFormat/>
    <w:uiPriority w:val="0"/>
    <w:pPr>
      <w:widowControl/>
      <w:numPr>
        <w:ilvl w:val="0"/>
        <w:numId w:val="12"/>
      </w:numPr>
      <w:shd w:val="clear" w:color="auto" w:fill="FFFFFF"/>
      <w:tabs>
        <w:tab w:val="left" w:pos="426"/>
      </w:tabs>
      <w:adjustRightInd w:val="0"/>
      <w:snapToGrid w:val="0"/>
      <w:spacing w:line="360" w:lineRule="auto"/>
      <w:ind w:firstLine="200" w:firstLineChars="200"/>
    </w:pPr>
    <w:rPr>
      <w:rFonts w:ascii="宋体" w:hAnsi="宋体" w:cs="宋体"/>
      <w:kern w:val="0"/>
      <w:sz w:val="24"/>
    </w:rPr>
  </w:style>
  <w:style w:type="paragraph" w:customStyle="1" w:styleId="295">
    <w:name w:val="附件1."/>
    <w:basedOn w:val="3"/>
    <w:qFormat/>
    <w:uiPriority w:val="0"/>
    <w:pPr>
      <w:keepNext w:val="0"/>
      <w:keepLines w:val="0"/>
      <w:widowControl/>
      <w:shd w:val="clear" w:color="auto" w:fill="FFFFFF"/>
      <w:tabs>
        <w:tab w:val="left" w:pos="360"/>
        <w:tab w:val="left" w:pos="420"/>
      </w:tabs>
      <w:adjustRightInd w:val="0"/>
      <w:snapToGrid w:val="0"/>
      <w:spacing w:before="0" w:after="0" w:line="360" w:lineRule="auto"/>
      <w:ind w:left="567" w:hanging="567"/>
    </w:pPr>
    <w:rPr>
      <w:rFonts w:ascii="Times New Roman" w:hAnsi="Times New Roman"/>
      <w:b w:val="0"/>
      <w:sz w:val="24"/>
    </w:rPr>
  </w:style>
  <w:style w:type="paragraph" w:customStyle="1" w:styleId="296">
    <w:name w:val="附件圈"/>
    <w:basedOn w:val="294"/>
    <w:qFormat/>
    <w:uiPriority w:val="0"/>
    <w:pPr>
      <w:numPr>
        <w:numId w:val="0"/>
      </w:numPr>
      <w:tabs>
        <w:tab w:val="clear" w:pos="426"/>
      </w:tabs>
      <w:ind w:firstLine="420" w:firstLineChars="200"/>
    </w:pPr>
  </w:style>
  <w:style w:type="paragraph" w:customStyle="1" w:styleId="297">
    <w:name w:val="样式 标题 2H2Heading 2 HiddenHeading 2 CCBSheading 22nd levelh..."/>
    <w:basedOn w:val="4"/>
    <w:qFormat/>
    <w:uiPriority w:val="0"/>
    <w:pPr>
      <w:keepNext/>
      <w:keepLines/>
      <w:widowControl/>
      <w:shd w:val="clear" w:color="auto" w:fill="FFFFFF"/>
      <w:tabs>
        <w:tab w:val="left" w:pos="426"/>
      </w:tabs>
      <w:snapToGrid w:val="0"/>
      <w:spacing w:before="120" w:after="120" w:line="240" w:lineRule="auto"/>
      <w:ind w:left="576" w:hanging="576"/>
      <w:jc w:val="left"/>
    </w:pPr>
    <w:rPr>
      <w:rFonts w:eastAsia="黑体" w:cs="宋体"/>
      <w:szCs w:val="28"/>
    </w:rPr>
  </w:style>
  <w:style w:type="paragraph" w:customStyle="1" w:styleId="298">
    <w:name w:val="样式 标题 2H2Heading 2 HiddenHeading 2 CCBSheading 22nd levelh...1"/>
    <w:basedOn w:val="4"/>
    <w:qFormat/>
    <w:uiPriority w:val="0"/>
    <w:pPr>
      <w:keepNext/>
      <w:keepLines/>
      <w:widowControl/>
      <w:shd w:val="clear" w:color="auto" w:fill="FFFFFF"/>
      <w:tabs>
        <w:tab w:val="left" w:pos="426"/>
      </w:tabs>
      <w:snapToGrid w:val="0"/>
      <w:spacing w:before="240" w:after="240" w:line="240" w:lineRule="auto"/>
      <w:ind w:left="576" w:hanging="576"/>
      <w:jc w:val="left"/>
    </w:pPr>
    <w:rPr>
      <w:rFonts w:ascii="宋体" w:hAnsi="宋体"/>
      <w:szCs w:val="28"/>
    </w:rPr>
  </w:style>
  <w:style w:type="character" w:customStyle="1" w:styleId="299">
    <w:name w:val="Default Char"/>
    <w:link w:val="105"/>
    <w:qFormat/>
    <w:uiPriority w:val="0"/>
    <w:rPr>
      <w:color w:val="000000"/>
      <w:sz w:val="24"/>
      <w:szCs w:val="24"/>
    </w:rPr>
  </w:style>
  <w:style w:type="paragraph" w:customStyle="1" w:styleId="300">
    <w:name w:val="CM51"/>
    <w:basedOn w:val="105"/>
    <w:qFormat/>
    <w:uiPriority w:val="0"/>
    <w:pPr>
      <w:spacing w:after="103" w:line="360" w:lineRule="auto"/>
      <w:jc w:val="both"/>
    </w:pPr>
    <w:rPr>
      <w:rFonts w:ascii="黑体" w:eastAsia="黑体"/>
      <w:color w:val="auto"/>
    </w:rPr>
  </w:style>
  <w:style w:type="paragraph" w:customStyle="1" w:styleId="301">
    <w:name w:val="pan"/>
    <w:basedOn w:val="1"/>
    <w:link w:val="302"/>
    <w:qFormat/>
    <w:uiPriority w:val="0"/>
    <w:pPr>
      <w:widowControl/>
      <w:numPr>
        <w:ilvl w:val="0"/>
        <w:numId w:val="13"/>
      </w:numPr>
      <w:shd w:val="clear" w:color="auto" w:fill="FFFFFF"/>
      <w:tabs>
        <w:tab w:val="left" w:pos="426"/>
        <w:tab w:val="left" w:pos="840"/>
      </w:tabs>
      <w:adjustRightInd w:val="0"/>
      <w:snapToGrid w:val="0"/>
      <w:spacing w:line="360" w:lineRule="auto"/>
      <w:ind w:left="840" w:hanging="420"/>
      <w:outlineLvl w:val="0"/>
    </w:pPr>
    <w:rPr>
      <w:rFonts w:ascii="黑体" w:hAnsi="黑体" w:eastAsia="黑体"/>
      <w:sz w:val="32"/>
      <w:szCs w:val="32"/>
    </w:rPr>
  </w:style>
  <w:style w:type="character" w:customStyle="1" w:styleId="302">
    <w:name w:val="pan Char"/>
    <w:link w:val="301"/>
    <w:qFormat/>
    <w:uiPriority w:val="0"/>
    <w:rPr>
      <w:rFonts w:ascii="黑体" w:hAnsi="黑体" w:eastAsia="黑体"/>
      <w:kern w:val="2"/>
      <w:sz w:val="32"/>
      <w:szCs w:val="32"/>
      <w:shd w:val="clear" w:color="auto" w:fill="FFFFFF"/>
    </w:rPr>
  </w:style>
  <w:style w:type="paragraph" w:customStyle="1" w:styleId="303">
    <w:name w:val="pan2"/>
    <w:basedOn w:val="1"/>
    <w:link w:val="304"/>
    <w:qFormat/>
    <w:uiPriority w:val="0"/>
    <w:pPr>
      <w:widowControl/>
      <w:numPr>
        <w:ilvl w:val="1"/>
        <w:numId w:val="13"/>
      </w:numPr>
      <w:shd w:val="clear" w:color="auto" w:fill="FFFFFF"/>
      <w:tabs>
        <w:tab w:val="left" w:pos="426"/>
        <w:tab w:val="left" w:pos="840"/>
      </w:tabs>
      <w:adjustRightInd w:val="0"/>
      <w:snapToGrid w:val="0"/>
      <w:spacing w:line="360" w:lineRule="auto"/>
      <w:ind w:left="840" w:hanging="420"/>
      <w:outlineLvl w:val="1"/>
    </w:pPr>
    <w:rPr>
      <w:rFonts w:ascii="黑体" w:hAnsi="黑体" w:eastAsia="黑体"/>
      <w:sz w:val="30"/>
      <w:szCs w:val="30"/>
    </w:rPr>
  </w:style>
  <w:style w:type="character" w:customStyle="1" w:styleId="304">
    <w:name w:val="pan2 Char"/>
    <w:link w:val="303"/>
    <w:qFormat/>
    <w:uiPriority w:val="0"/>
    <w:rPr>
      <w:rFonts w:ascii="黑体" w:hAnsi="黑体" w:eastAsia="黑体"/>
      <w:kern w:val="2"/>
      <w:sz w:val="30"/>
      <w:szCs w:val="30"/>
      <w:shd w:val="clear" w:color="auto" w:fill="FFFFFF"/>
    </w:rPr>
  </w:style>
  <w:style w:type="paragraph" w:customStyle="1" w:styleId="305">
    <w:name w:val="pan3"/>
    <w:basedOn w:val="1"/>
    <w:link w:val="306"/>
    <w:qFormat/>
    <w:uiPriority w:val="0"/>
    <w:pPr>
      <w:widowControl/>
      <w:numPr>
        <w:ilvl w:val="2"/>
        <w:numId w:val="13"/>
      </w:numPr>
      <w:shd w:val="clear" w:color="auto" w:fill="FFFFFF"/>
      <w:tabs>
        <w:tab w:val="left" w:pos="426"/>
        <w:tab w:val="left" w:pos="1260"/>
      </w:tabs>
      <w:adjustRightInd w:val="0"/>
      <w:snapToGrid w:val="0"/>
      <w:spacing w:line="360" w:lineRule="auto"/>
      <w:ind w:left="1260" w:hanging="420"/>
      <w:outlineLvl w:val="2"/>
    </w:pPr>
    <w:rPr>
      <w:rFonts w:ascii="黑体" w:hAnsi="黑体" w:eastAsia="黑体"/>
      <w:sz w:val="28"/>
      <w:szCs w:val="28"/>
    </w:rPr>
  </w:style>
  <w:style w:type="character" w:customStyle="1" w:styleId="306">
    <w:name w:val="pan3 Char"/>
    <w:link w:val="305"/>
    <w:qFormat/>
    <w:uiPriority w:val="0"/>
    <w:rPr>
      <w:rFonts w:ascii="黑体" w:hAnsi="黑体" w:eastAsia="黑体"/>
      <w:kern w:val="2"/>
      <w:sz w:val="28"/>
      <w:szCs w:val="28"/>
      <w:shd w:val="clear" w:color="auto" w:fill="FFFFFF"/>
    </w:rPr>
  </w:style>
  <w:style w:type="paragraph" w:customStyle="1" w:styleId="307">
    <w:name w:val="pan4"/>
    <w:basedOn w:val="1"/>
    <w:link w:val="308"/>
    <w:qFormat/>
    <w:uiPriority w:val="0"/>
    <w:pPr>
      <w:widowControl/>
      <w:numPr>
        <w:ilvl w:val="3"/>
        <w:numId w:val="13"/>
      </w:numPr>
      <w:shd w:val="clear" w:color="auto" w:fill="FFFFFF"/>
      <w:tabs>
        <w:tab w:val="left" w:pos="426"/>
        <w:tab w:val="left" w:pos="1680"/>
      </w:tabs>
      <w:adjustRightInd w:val="0"/>
      <w:snapToGrid w:val="0"/>
      <w:spacing w:line="360" w:lineRule="auto"/>
      <w:ind w:left="1680" w:hanging="420"/>
      <w:outlineLvl w:val="3"/>
    </w:pPr>
    <w:rPr>
      <w:rFonts w:ascii="黑体" w:hAnsi="黑体" w:eastAsia="黑体"/>
      <w:sz w:val="28"/>
      <w:szCs w:val="28"/>
    </w:rPr>
  </w:style>
  <w:style w:type="character" w:customStyle="1" w:styleId="308">
    <w:name w:val="pan4 Char"/>
    <w:link w:val="307"/>
    <w:qFormat/>
    <w:uiPriority w:val="0"/>
    <w:rPr>
      <w:rFonts w:ascii="黑体" w:hAnsi="黑体" w:eastAsia="黑体"/>
      <w:kern w:val="2"/>
      <w:sz w:val="28"/>
      <w:szCs w:val="28"/>
      <w:shd w:val="clear" w:color="auto" w:fill="FFFFFF"/>
    </w:rPr>
  </w:style>
  <w:style w:type="paragraph" w:customStyle="1" w:styleId="309">
    <w:name w:val="pan5"/>
    <w:basedOn w:val="1"/>
    <w:link w:val="310"/>
    <w:qFormat/>
    <w:uiPriority w:val="0"/>
    <w:pPr>
      <w:widowControl/>
      <w:numPr>
        <w:ilvl w:val="4"/>
        <w:numId w:val="13"/>
      </w:numPr>
      <w:shd w:val="clear" w:color="auto" w:fill="FFFFFF"/>
      <w:tabs>
        <w:tab w:val="left" w:pos="426"/>
        <w:tab w:val="left" w:pos="1008"/>
      </w:tabs>
      <w:adjustRightInd w:val="0"/>
      <w:snapToGrid w:val="0"/>
      <w:spacing w:line="360" w:lineRule="auto"/>
      <w:ind w:left="1008" w:hanging="1008"/>
      <w:outlineLvl w:val="4"/>
    </w:pPr>
    <w:rPr>
      <w:rFonts w:ascii="黑体" w:hAnsi="黑体" w:eastAsia="黑体"/>
      <w:sz w:val="24"/>
    </w:rPr>
  </w:style>
  <w:style w:type="character" w:customStyle="1" w:styleId="310">
    <w:name w:val="pan5 Char"/>
    <w:link w:val="309"/>
    <w:qFormat/>
    <w:uiPriority w:val="0"/>
    <w:rPr>
      <w:rFonts w:ascii="黑体" w:hAnsi="黑体" w:eastAsia="黑体"/>
      <w:kern w:val="2"/>
      <w:sz w:val="24"/>
      <w:szCs w:val="24"/>
      <w:shd w:val="clear" w:color="auto" w:fill="FFFFFF"/>
    </w:rPr>
  </w:style>
  <w:style w:type="paragraph" w:customStyle="1" w:styleId="311">
    <w:name w:val="一级标题"/>
    <w:basedOn w:val="1"/>
    <w:link w:val="313"/>
    <w:qFormat/>
    <w:uiPriority w:val="0"/>
    <w:pPr>
      <w:widowControl/>
      <w:numPr>
        <w:ilvl w:val="0"/>
        <w:numId w:val="14"/>
      </w:numPr>
      <w:shd w:val="clear" w:color="auto" w:fill="FFFFFF"/>
      <w:tabs>
        <w:tab w:val="left" w:pos="426"/>
      </w:tabs>
      <w:adjustRightInd w:val="0"/>
      <w:snapToGrid w:val="0"/>
      <w:spacing w:line="720" w:lineRule="auto"/>
      <w:jc w:val="center"/>
      <w:outlineLvl w:val="0"/>
    </w:pPr>
    <w:rPr>
      <w:rFonts w:ascii="黑体" w:hAnsi="黑体" w:eastAsia="黑体"/>
      <w:sz w:val="44"/>
      <w:szCs w:val="44"/>
    </w:rPr>
  </w:style>
  <w:style w:type="paragraph" w:customStyle="1" w:styleId="312">
    <w:name w:val="二级标题"/>
    <w:basedOn w:val="1"/>
    <w:link w:val="315"/>
    <w:qFormat/>
    <w:uiPriority w:val="0"/>
    <w:pPr>
      <w:widowControl/>
      <w:numPr>
        <w:ilvl w:val="1"/>
        <w:numId w:val="14"/>
      </w:numPr>
      <w:shd w:val="clear" w:color="auto" w:fill="FFFFFF"/>
      <w:tabs>
        <w:tab w:val="left" w:pos="426"/>
      </w:tabs>
      <w:adjustRightInd w:val="0"/>
      <w:snapToGrid w:val="0"/>
      <w:spacing w:line="720" w:lineRule="auto"/>
      <w:outlineLvl w:val="1"/>
    </w:pPr>
    <w:rPr>
      <w:rFonts w:ascii="黑体" w:hAnsi="黑体" w:eastAsia="黑体"/>
      <w:sz w:val="36"/>
      <w:szCs w:val="36"/>
    </w:rPr>
  </w:style>
  <w:style w:type="character" w:customStyle="1" w:styleId="313">
    <w:name w:val="一级标题 Char"/>
    <w:link w:val="311"/>
    <w:qFormat/>
    <w:uiPriority w:val="0"/>
    <w:rPr>
      <w:rFonts w:ascii="黑体" w:hAnsi="黑体" w:eastAsia="黑体"/>
      <w:kern w:val="2"/>
      <w:sz w:val="44"/>
      <w:szCs w:val="44"/>
      <w:shd w:val="clear" w:color="auto" w:fill="FFFFFF"/>
    </w:rPr>
  </w:style>
  <w:style w:type="paragraph" w:customStyle="1" w:styleId="314">
    <w:name w:val="三级标题"/>
    <w:basedOn w:val="1"/>
    <w:link w:val="317"/>
    <w:qFormat/>
    <w:uiPriority w:val="0"/>
    <w:pPr>
      <w:widowControl/>
      <w:numPr>
        <w:ilvl w:val="2"/>
        <w:numId w:val="14"/>
      </w:numPr>
      <w:shd w:val="clear" w:color="auto" w:fill="FFFFFF"/>
      <w:tabs>
        <w:tab w:val="left" w:pos="426"/>
      </w:tabs>
      <w:adjustRightInd w:val="0"/>
      <w:snapToGrid w:val="0"/>
      <w:spacing w:line="720" w:lineRule="auto"/>
      <w:outlineLvl w:val="2"/>
    </w:pPr>
    <w:rPr>
      <w:rFonts w:ascii="黑体" w:hAnsi="黑体" w:eastAsia="黑体"/>
      <w:sz w:val="32"/>
      <w:szCs w:val="32"/>
    </w:rPr>
  </w:style>
  <w:style w:type="character" w:customStyle="1" w:styleId="315">
    <w:name w:val="二级标题 Char"/>
    <w:link w:val="312"/>
    <w:qFormat/>
    <w:uiPriority w:val="0"/>
    <w:rPr>
      <w:rFonts w:ascii="黑体" w:hAnsi="黑体" w:eastAsia="黑体"/>
      <w:kern w:val="2"/>
      <w:sz w:val="36"/>
      <w:szCs w:val="36"/>
      <w:shd w:val="clear" w:color="auto" w:fill="FFFFFF"/>
    </w:rPr>
  </w:style>
  <w:style w:type="paragraph" w:customStyle="1" w:styleId="316">
    <w:name w:val="四级标题"/>
    <w:basedOn w:val="1"/>
    <w:link w:val="319"/>
    <w:qFormat/>
    <w:uiPriority w:val="0"/>
    <w:pPr>
      <w:widowControl/>
      <w:numPr>
        <w:ilvl w:val="3"/>
        <w:numId w:val="14"/>
      </w:numPr>
      <w:shd w:val="clear" w:color="auto" w:fill="FFFFFF"/>
      <w:tabs>
        <w:tab w:val="left" w:pos="426"/>
      </w:tabs>
      <w:adjustRightInd w:val="0"/>
      <w:snapToGrid w:val="0"/>
      <w:spacing w:line="720" w:lineRule="auto"/>
      <w:outlineLvl w:val="3"/>
    </w:pPr>
    <w:rPr>
      <w:rFonts w:ascii="黑体" w:hAnsi="黑体" w:eastAsia="黑体"/>
      <w:sz w:val="30"/>
      <w:szCs w:val="30"/>
    </w:rPr>
  </w:style>
  <w:style w:type="character" w:customStyle="1" w:styleId="317">
    <w:name w:val="三级标题 Char"/>
    <w:link w:val="314"/>
    <w:qFormat/>
    <w:uiPriority w:val="0"/>
    <w:rPr>
      <w:rFonts w:ascii="黑体" w:hAnsi="黑体" w:eastAsia="黑体"/>
      <w:kern w:val="2"/>
      <w:sz w:val="32"/>
      <w:szCs w:val="32"/>
      <w:shd w:val="clear" w:color="auto" w:fill="FFFFFF"/>
    </w:rPr>
  </w:style>
  <w:style w:type="paragraph" w:customStyle="1" w:styleId="318">
    <w:name w:val="五级标题"/>
    <w:basedOn w:val="1"/>
    <w:link w:val="320"/>
    <w:qFormat/>
    <w:uiPriority w:val="0"/>
    <w:pPr>
      <w:widowControl/>
      <w:numPr>
        <w:ilvl w:val="4"/>
        <w:numId w:val="14"/>
      </w:numPr>
      <w:shd w:val="clear" w:color="auto" w:fill="FFFFFF"/>
      <w:tabs>
        <w:tab w:val="left" w:pos="426"/>
      </w:tabs>
      <w:adjustRightInd w:val="0"/>
      <w:snapToGrid w:val="0"/>
      <w:spacing w:line="720" w:lineRule="auto"/>
      <w:outlineLvl w:val="4"/>
    </w:pPr>
    <w:rPr>
      <w:rFonts w:ascii="黑体" w:hAnsi="黑体" w:eastAsia="黑体"/>
      <w:sz w:val="28"/>
      <w:szCs w:val="28"/>
    </w:rPr>
  </w:style>
  <w:style w:type="character" w:customStyle="1" w:styleId="319">
    <w:name w:val="四级标题 Char"/>
    <w:link w:val="316"/>
    <w:qFormat/>
    <w:uiPriority w:val="0"/>
    <w:rPr>
      <w:rFonts w:ascii="黑体" w:hAnsi="黑体" w:eastAsia="黑体"/>
      <w:kern w:val="2"/>
      <w:sz w:val="30"/>
      <w:szCs w:val="30"/>
      <w:shd w:val="clear" w:color="auto" w:fill="FFFFFF"/>
    </w:rPr>
  </w:style>
  <w:style w:type="character" w:customStyle="1" w:styleId="320">
    <w:name w:val="五级标题 Char"/>
    <w:link w:val="318"/>
    <w:qFormat/>
    <w:uiPriority w:val="0"/>
    <w:rPr>
      <w:rFonts w:ascii="黑体" w:hAnsi="黑体" w:eastAsia="黑体"/>
      <w:kern w:val="2"/>
      <w:sz w:val="28"/>
      <w:szCs w:val="28"/>
      <w:shd w:val="clear" w:color="auto" w:fill="FFFFFF"/>
    </w:rPr>
  </w:style>
  <w:style w:type="paragraph" w:customStyle="1" w:styleId="321">
    <w:name w:val="图片"/>
    <w:basedOn w:val="1"/>
    <w:link w:val="323"/>
    <w:qFormat/>
    <w:uiPriority w:val="0"/>
    <w:pPr>
      <w:widowControl/>
      <w:shd w:val="clear" w:color="auto" w:fill="FFFFFF"/>
      <w:tabs>
        <w:tab w:val="left" w:pos="426"/>
      </w:tabs>
      <w:adjustRightInd w:val="0"/>
      <w:snapToGrid w:val="0"/>
      <w:spacing w:line="360" w:lineRule="auto"/>
      <w:ind w:firstLine="200" w:firstLineChars="200"/>
      <w:jc w:val="center"/>
    </w:pPr>
    <w:rPr>
      <w:rFonts w:ascii="宋体" w:hAnsi="宋体"/>
      <w:sz w:val="24"/>
    </w:rPr>
  </w:style>
  <w:style w:type="paragraph" w:customStyle="1" w:styleId="322">
    <w:name w:val="图片注释"/>
    <w:basedOn w:val="1"/>
    <w:link w:val="324"/>
    <w:qFormat/>
    <w:uiPriority w:val="0"/>
    <w:pPr>
      <w:widowControl/>
      <w:shd w:val="clear" w:color="auto" w:fill="FFFFFF"/>
      <w:tabs>
        <w:tab w:val="left" w:pos="426"/>
      </w:tabs>
      <w:adjustRightInd w:val="0"/>
      <w:snapToGrid w:val="0"/>
      <w:spacing w:afterLines="25" w:line="360" w:lineRule="auto"/>
      <w:ind w:firstLine="200" w:firstLineChars="200"/>
      <w:jc w:val="center"/>
    </w:pPr>
    <w:rPr>
      <w:rFonts w:ascii="宋体" w:hAnsi="宋体"/>
      <w:sz w:val="24"/>
      <w:u w:val="single"/>
    </w:rPr>
  </w:style>
  <w:style w:type="character" w:customStyle="1" w:styleId="323">
    <w:name w:val="图片 Char"/>
    <w:link w:val="321"/>
    <w:qFormat/>
    <w:uiPriority w:val="0"/>
    <w:rPr>
      <w:rFonts w:ascii="宋体" w:hAnsi="宋体"/>
      <w:kern w:val="2"/>
      <w:sz w:val="24"/>
      <w:szCs w:val="24"/>
      <w:shd w:val="clear" w:color="auto" w:fill="FFFFFF"/>
    </w:rPr>
  </w:style>
  <w:style w:type="character" w:customStyle="1" w:styleId="324">
    <w:name w:val="图片注释 Char"/>
    <w:link w:val="322"/>
    <w:qFormat/>
    <w:uiPriority w:val="0"/>
    <w:rPr>
      <w:rFonts w:ascii="宋体" w:hAnsi="宋体"/>
      <w:kern w:val="2"/>
      <w:sz w:val="24"/>
      <w:szCs w:val="24"/>
      <w:u w:val="single"/>
      <w:shd w:val="clear" w:color="auto" w:fill="FFFFFF"/>
    </w:rPr>
  </w:style>
  <w:style w:type="paragraph" w:customStyle="1" w:styleId="325">
    <w:name w:val="段内层标"/>
    <w:basedOn w:val="215"/>
    <w:link w:val="326"/>
    <w:qFormat/>
    <w:uiPriority w:val="0"/>
    <w:pPr>
      <w:numPr>
        <w:ilvl w:val="0"/>
        <w:numId w:val="15"/>
      </w:numPr>
      <w:spacing w:beforeLines="25" w:afterLines="25"/>
      <w:ind w:firstLine="200" w:firstLineChars="200"/>
    </w:pPr>
    <w:rPr>
      <w:rFonts w:ascii="宋体" w:hAnsi="宋体"/>
      <w:b/>
      <w:kern w:val="2"/>
      <w:sz w:val="28"/>
      <w:szCs w:val="28"/>
    </w:rPr>
  </w:style>
  <w:style w:type="character" w:customStyle="1" w:styleId="326">
    <w:name w:val="段内层标 Char"/>
    <w:link w:val="325"/>
    <w:qFormat/>
    <w:uiPriority w:val="0"/>
    <w:rPr>
      <w:rFonts w:ascii="宋体" w:hAnsi="宋体"/>
      <w:b/>
      <w:kern w:val="2"/>
      <w:sz w:val="28"/>
      <w:szCs w:val="28"/>
      <w:shd w:val="clear" w:color="auto" w:fill="FFFFFF"/>
    </w:rPr>
  </w:style>
  <w:style w:type="paragraph" w:customStyle="1" w:styleId="327">
    <w:name w:val="方案设计1级标题"/>
    <w:basedOn w:val="1"/>
    <w:qFormat/>
    <w:uiPriority w:val="0"/>
    <w:pPr>
      <w:widowControl/>
      <w:shd w:val="clear" w:color="auto" w:fill="FFFFFF"/>
      <w:tabs>
        <w:tab w:val="left" w:pos="426"/>
        <w:tab w:val="left" w:pos="840"/>
      </w:tabs>
      <w:adjustRightInd w:val="0"/>
      <w:snapToGrid w:val="0"/>
      <w:spacing w:line="360" w:lineRule="auto"/>
      <w:ind w:left="840"/>
      <w:jc w:val="center"/>
      <w:outlineLvl w:val="0"/>
    </w:pPr>
    <w:rPr>
      <w:rFonts w:ascii="黑体" w:hAnsi="黑体" w:eastAsia="黑体"/>
      <w:sz w:val="44"/>
      <w:szCs w:val="44"/>
    </w:rPr>
  </w:style>
  <w:style w:type="paragraph" w:customStyle="1" w:styleId="328">
    <w:name w:val="方案设计2级标题"/>
    <w:basedOn w:val="1"/>
    <w:qFormat/>
    <w:uiPriority w:val="0"/>
    <w:pPr>
      <w:widowControl/>
      <w:numPr>
        <w:ilvl w:val="1"/>
        <w:numId w:val="16"/>
      </w:numPr>
      <w:shd w:val="clear" w:color="auto" w:fill="FFFFFF"/>
      <w:tabs>
        <w:tab w:val="left" w:pos="426"/>
      </w:tabs>
      <w:adjustRightInd w:val="0"/>
      <w:snapToGrid w:val="0"/>
      <w:spacing w:line="360" w:lineRule="auto"/>
      <w:ind w:firstLine="0"/>
      <w:outlineLvl w:val="1"/>
    </w:pPr>
    <w:rPr>
      <w:rFonts w:ascii="黑体" w:hAnsi="黑体" w:eastAsia="黑体"/>
      <w:sz w:val="32"/>
      <w:szCs w:val="32"/>
    </w:rPr>
  </w:style>
  <w:style w:type="paragraph" w:customStyle="1" w:styleId="329">
    <w:name w:val="标题3"/>
    <w:basedOn w:val="1"/>
    <w:link w:val="333"/>
    <w:qFormat/>
    <w:uiPriority w:val="0"/>
    <w:pPr>
      <w:widowControl/>
      <w:numPr>
        <w:ilvl w:val="2"/>
        <w:numId w:val="16"/>
      </w:numPr>
      <w:shd w:val="clear" w:color="auto" w:fill="FFFFFF"/>
      <w:tabs>
        <w:tab w:val="left" w:pos="426"/>
      </w:tabs>
      <w:adjustRightInd w:val="0"/>
      <w:snapToGrid w:val="0"/>
      <w:spacing w:line="360" w:lineRule="auto"/>
      <w:ind w:firstLine="0"/>
      <w:outlineLvl w:val="2"/>
    </w:pPr>
    <w:rPr>
      <w:rFonts w:ascii="黑体" w:hAnsi="黑体" w:eastAsia="黑体"/>
      <w:sz w:val="28"/>
      <w:szCs w:val="28"/>
    </w:rPr>
  </w:style>
  <w:style w:type="paragraph" w:customStyle="1" w:styleId="330">
    <w:name w:val="标题5"/>
    <w:basedOn w:val="1"/>
    <w:qFormat/>
    <w:uiPriority w:val="0"/>
    <w:pPr>
      <w:widowControl/>
      <w:shd w:val="clear" w:color="auto" w:fill="FFFFFF"/>
      <w:tabs>
        <w:tab w:val="left" w:pos="426"/>
        <w:tab w:val="left" w:pos="2038"/>
      </w:tabs>
      <w:adjustRightInd w:val="0"/>
      <w:snapToGrid w:val="0"/>
      <w:spacing w:line="360" w:lineRule="auto"/>
      <w:ind w:left="2038" w:hanging="420"/>
      <w:jc w:val="left"/>
      <w:outlineLvl w:val="4"/>
    </w:pPr>
    <w:rPr>
      <w:rFonts w:ascii="黑体" w:hAnsi="黑体" w:eastAsia="黑体"/>
      <w:sz w:val="28"/>
      <w:szCs w:val="28"/>
    </w:rPr>
  </w:style>
  <w:style w:type="paragraph" w:customStyle="1" w:styleId="331">
    <w:name w:val="正文标题"/>
    <w:basedOn w:val="1"/>
    <w:link w:val="332"/>
    <w:qFormat/>
    <w:uiPriority w:val="0"/>
    <w:pPr>
      <w:widowControl/>
      <w:numPr>
        <w:ilvl w:val="0"/>
        <w:numId w:val="16"/>
      </w:numPr>
      <w:shd w:val="clear" w:color="auto" w:fill="FFFFFF"/>
      <w:tabs>
        <w:tab w:val="left" w:pos="426"/>
      </w:tabs>
      <w:adjustRightInd w:val="0"/>
      <w:snapToGrid w:val="0"/>
      <w:spacing w:line="360" w:lineRule="auto"/>
      <w:ind w:firstLine="200" w:firstLineChars="200"/>
    </w:pPr>
    <w:rPr>
      <w:b/>
      <w:sz w:val="28"/>
      <w:szCs w:val="28"/>
    </w:rPr>
  </w:style>
  <w:style w:type="character" w:customStyle="1" w:styleId="332">
    <w:name w:val="正文标题 Char"/>
    <w:link w:val="331"/>
    <w:qFormat/>
    <w:uiPriority w:val="0"/>
    <w:rPr>
      <w:b/>
      <w:kern w:val="2"/>
      <w:sz w:val="28"/>
      <w:szCs w:val="28"/>
      <w:shd w:val="clear" w:color="auto" w:fill="FFFFFF"/>
    </w:rPr>
  </w:style>
  <w:style w:type="character" w:customStyle="1" w:styleId="333">
    <w:name w:val="标题3 Char"/>
    <w:link w:val="329"/>
    <w:qFormat/>
    <w:uiPriority w:val="0"/>
    <w:rPr>
      <w:rFonts w:ascii="黑体" w:hAnsi="黑体" w:eastAsia="黑体"/>
      <w:kern w:val="2"/>
      <w:sz w:val="28"/>
      <w:szCs w:val="28"/>
      <w:shd w:val="clear" w:color="auto" w:fill="FFFFFF"/>
    </w:rPr>
  </w:style>
  <w:style w:type="paragraph" w:customStyle="1" w:styleId="334">
    <w:name w:val="样式 Verdana 四号 首行缩进:  2 字符"/>
    <w:basedOn w:val="1"/>
    <w:qFormat/>
    <w:uiPriority w:val="0"/>
    <w:pPr>
      <w:widowControl/>
      <w:shd w:val="clear" w:color="auto" w:fill="FFFFFF"/>
      <w:tabs>
        <w:tab w:val="left" w:pos="426"/>
      </w:tabs>
      <w:adjustRightInd w:val="0"/>
      <w:snapToGrid w:val="0"/>
      <w:spacing w:line="360" w:lineRule="auto"/>
      <w:ind w:firstLine="560" w:firstLineChars="200"/>
      <w:jc w:val="left"/>
    </w:pPr>
    <w:rPr>
      <w:rFonts w:ascii="Verdana" w:hAnsi="Verdana" w:cs="宋体"/>
      <w:kern w:val="0"/>
      <w:sz w:val="24"/>
      <w:szCs w:val="20"/>
    </w:rPr>
  </w:style>
  <w:style w:type="paragraph" w:customStyle="1" w:styleId="335">
    <w:name w:val="层标"/>
    <w:basedOn w:val="215"/>
    <w:link w:val="336"/>
    <w:qFormat/>
    <w:uiPriority w:val="0"/>
    <w:pPr>
      <w:numPr>
        <w:ilvl w:val="0"/>
        <w:numId w:val="17"/>
      </w:numPr>
      <w:spacing w:beforeLines="25" w:afterLines="25"/>
      <w:ind w:firstLine="0"/>
    </w:pPr>
    <w:rPr>
      <w:rFonts w:ascii="宋体" w:hAnsi="宋体"/>
      <w:b/>
      <w:kern w:val="2"/>
      <w:sz w:val="28"/>
      <w:szCs w:val="28"/>
    </w:rPr>
  </w:style>
  <w:style w:type="character" w:customStyle="1" w:styleId="336">
    <w:name w:val="层标 Char"/>
    <w:link w:val="335"/>
    <w:qFormat/>
    <w:uiPriority w:val="0"/>
    <w:rPr>
      <w:rFonts w:ascii="宋体" w:hAnsi="宋体"/>
      <w:b/>
      <w:kern w:val="2"/>
      <w:sz w:val="28"/>
      <w:szCs w:val="28"/>
      <w:shd w:val="clear" w:color="auto" w:fill="FFFFFF"/>
    </w:rPr>
  </w:style>
  <w:style w:type="paragraph" w:styleId="337">
    <w:name w:val="Quote"/>
    <w:basedOn w:val="1"/>
    <w:link w:val="338"/>
    <w:qFormat/>
    <w:uiPriority w:val="29"/>
    <w:pPr>
      <w:widowControl/>
      <w:shd w:val="clear" w:color="auto" w:fill="FFFFFF"/>
      <w:tabs>
        <w:tab w:val="left" w:pos="426"/>
      </w:tabs>
      <w:adjustRightInd w:val="0"/>
      <w:snapToGrid w:val="0"/>
      <w:spacing w:line="360" w:lineRule="auto"/>
      <w:jc w:val="center"/>
    </w:pPr>
    <w:rPr>
      <w:rFonts w:ascii="Times New Roman" w:hAnsi="Times New Roman"/>
      <w:iCs/>
      <w:color w:val="000000"/>
      <w:sz w:val="24"/>
    </w:rPr>
  </w:style>
  <w:style w:type="character" w:customStyle="1" w:styleId="338">
    <w:name w:val="引用 Char"/>
    <w:basedOn w:val="53"/>
    <w:link w:val="337"/>
    <w:qFormat/>
    <w:uiPriority w:val="29"/>
    <w:rPr>
      <w:rFonts w:ascii="Times New Roman" w:hAnsi="Times New Roman"/>
      <w:iCs/>
      <w:color w:val="000000"/>
      <w:kern w:val="2"/>
      <w:sz w:val="24"/>
      <w:szCs w:val="24"/>
      <w:shd w:val="clear" w:color="auto" w:fill="FFFFFF"/>
    </w:rPr>
  </w:style>
  <w:style w:type="character" w:customStyle="1" w:styleId="339">
    <w:name w:val="明显参考1"/>
    <w:qFormat/>
    <w:uiPriority w:val="32"/>
    <w:rPr>
      <w:rFonts w:eastAsia="宋体"/>
      <w:bCs/>
      <w:color w:val="000000"/>
      <w:spacing w:val="5"/>
      <w:sz w:val="24"/>
      <w:u w:val="single"/>
    </w:rPr>
  </w:style>
  <w:style w:type="paragraph" w:customStyle="1" w:styleId="340">
    <w:name w:val="段落强调"/>
    <w:basedOn w:val="1"/>
    <w:link w:val="342"/>
    <w:qFormat/>
    <w:uiPriority w:val="0"/>
    <w:pPr>
      <w:widowControl/>
      <w:numPr>
        <w:ilvl w:val="0"/>
        <w:numId w:val="18"/>
      </w:numPr>
      <w:shd w:val="clear" w:color="auto" w:fill="FFFFFF"/>
      <w:tabs>
        <w:tab w:val="left" w:pos="426"/>
      </w:tabs>
      <w:adjustRightInd w:val="0"/>
      <w:snapToGrid w:val="0"/>
      <w:spacing w:line="360" w:lineRule="auto"/>
      <w:ind w:left="0" w:firstLine="420"/>
    </w:pPr>
    <w:rPr>
      <w:rFonts w:ascii="Times New Roman" w:hAnsi="Times New Roman"/>
      <w:b/>
      <w:sz w:val="24"/>
    </w:rPr>
  </w:style>
  <w:style w:type="character" w:customStyle="1" w:styleId="341">
    <w:name w:val="书籍标题1"/>
    <w:qFormat/>
    <w:uiPriority w:val="33"/>
    <w:rPr>
      <w:b/>
      <w:bCs/>
      <w:spacing w:val="5"/>
    </w:rPr>
  </w:style>
  <w:style w:type="character" w:customStyle="1" w:styleId="342">
    <w:name w:val="段落强调 Char"/>
    <w:link w:val="340"/>
    <w:qFormat/>
    <w:uiPriority w:val="0"/>
    <w:rPr>
      <w:rFonts w:ascii="Times New Roman" w:hAnsi="Times New Roman"/>
      <w:b/>
      <w:kern w:val="2"/>
      <w:sz w:val="24"/>
      <w:szCs w:val="24"/>
      <w:shd w:val="clear" w:color="auto" w:fill="FFFFFF"/>
    </w:rPr>
  </w:style>
  <w:style w:type="paragraph" w:customStyle="1" w:styleId="343">
    <w:name w:val="段内主题"/>
    <w:basedOn w:val="1"/>
    <w:link w:val="345"/>
    <w:qFormat/>
    <w:uiPriority w:val="0"/>
    <w:pPr>
      <w:widowControl/>
      <w:numPr>
        <w:ilvl w:val="1"/>
        <w:numId w:val="19"/>
      </w:numPr>
      <w:shd w:val="clear" w:color="auto" w:fill="FFFFFF"/>
      <w:tabs>
        <w:tab w:val="left" w:pos="426"/>
      </w:tabs>
      <w:adjustRightInd w:val="0"/>
      <w:snapToGrid w:val="0"/>
      <w:spacing w:line="360" w:lineRule="auto"/>
      <w:ind w:firstLine="0"/>
    </w:pPr>
    <w:rPr>
      <w:rFonts w:ascii="宋体" w:hAnsi="宋体"/>
      <w:b/>
      <w:sz w:val="24"/>
    </w:rPr>
  </w:style>
  <w:style w:type="paragraph" w:customStyle="1" w:styleId="344">
    <w:name w:val="图片注释新"/>
    <w:basedOn w:val="322"/>
    <w:link w:val="346"/>
    <w:qFormat/>
    <w:uiPriority w:val="0"/>
    <w:pPr>
      <w:spacing w:after="81"/>
      <w:ind w:firstLine="0" w:firstLineChars="0"/>
    </w:pPr>
  </w:style>
  <w:style w:type="character" w:customStyle="1" w:styleId="345">
    <w:name w:val="段内主题 Char"/>
    <w:link w:val="343"/>
    <w:qFormat/>
    <w:uiPriority w:val="0"/>
    <w:rPr>
      <w:rFonts w:ascii="宋体" w:hAnsi="宋体"/>
      <w:b/>
      <w:kern w:val="2"/>
      <w:sz w:val="24"/>
      <w:szCs w:val="24"/>
      <w:shd w:val="clear" w:color="auto" w:fill="FFFFFF"/>
    </w:rPr>
  </w:style>
  <w:style w:type="character" w:customStyle="1" w:styleId="346">
    <w:name w:val="图片注释新 Char"/>
    <w:link w:val="344"/>
    <w:qFormat/>
    <w:uiPriority w:val="0"/>
    <w:rPr>
      <w:rFonts w:ascii="宋体" w:hAnsi="宋体"/>
      <w:kern w:val="2"/>
      <w:sz w:val="24"/>
      <w:szCs w:val="24"/>
      <w:u w:val="single"/>
      <w:shd w:val="clear" w:color="auto" w:fill="FFFFFF"/>
    </w:rPr>
  </w:style>
  <w:style w:type="paragraph" w:customStyle="1" w:styleId="347">
    <w:name w:val="正文（缩进）"/>
    <w:basedOn w:val="1"/>
    <w:link w:val="348"/>
    <w:qFormat/>
    <w:uiPriority w:val="0"/>
    <w:pPr>
      <w:widowControl/>
      <w:shd w:val="clear" w:color="auto" w:fill="FFFFFF"/>
      <w:tabs>
        <w:tab w:val="left" w:pos="426"/>
      </w:tabs>
      <w:adjustRightInd w:val="0"/>
      <w:snapToGrid w:val="0"/>
      <w:spacing w:beforeLines="50" w:afterLines="50" w:line="360" w:lineRule="auto"/>
      <w:ind w:firstLine="480" w:firstLineChars="200"/>
    </w:pPr>
    <w:rPr>
      <w:rFonts w:ascii="Times New Roman" w:hAnsi="Times New Roman"/>
      <w:kern w:val="0"/>
      <w:sz w:val="24"/>
    </w:rPr>
  </w:style>
  <w:style w:type="character" w:customStyle="1" w:styleId="348">
    <w:name w:val="正文（缩进） Char"/>
    <w:link w:val="347"/>
    <w:qFormat/>
    <w:uiPriority w:val="0"/>
    <w:rPr>
      <w:rFonts w:ascii="Times New Roman" w:hAnsi="Times New Roman"/>
      <w:sz w:val="24"/>
      <w:szCs w:val="24"/>
      <w:shd w:val="clear" w:color="auto" w:fill="FFFFFF"/>
    </w:rPr>
  </w:style>
  <w:style w:type="character" w:customStyle="1" w:styleId="349">
    <w:name w:val="Char Char4"/>
    <w:qFormat/>
    <w:uiPriority w:val="0"/>
    <w:rPr>
      <w:rFonts w:eastAsia="宋体"/>
      <w:b/>
      <w:kern w:val="2"/>
      <w:sz w:val="24"/>
      <w:lang w:val="en-US" w:eastAsia="zh-CN" w:bidi="ar-SA"/>
    </w:rPr>
  </w:style>
  <w:style w:type="paragraph" w:customStyle="1" w:styleId="350">
    <w:name w:val="Char5 Char Char Char Char Char Char"/>
    <w:basedOn w:val="1"/>
    <w:qFormat/>
    <w:uiPriority w:val="0"/>
    <w:pPr>
      <w:widowControl/>
      <w:shd w:val="clear" w:color="auto" w:fill="FFFFFF"/>
      <w:tabs>
        <w:tab w:val="left" w:pos="426"/>
      </w:tabs>
      <w:adjustRightInd w:val="0"/>
      <w:snapToGrid w:val="0"/>
      <w:spacing w:after="160" w:line="240" w:lineRule="exact"/>
      <w:jc w:val="left"/>
    </w:pPr>
    <w:rPr>
      <w:rFonts w:ascii="Verdana" w:hAnsi="Verdana" w:eastAsia="仿宋_GB2312" w:cs="宋体"/>
      <w:kern w:val="0"/>
      <w:sz w:val="24"/>
      <w:szCs w:val="20"/>
      <w:lang w:eastAsia="en-US"/>
    </w:rPr>
  </w:style>
  <w:style w:type="paragraph" w:customStyle="1" w:styleId="351">
    <w:name w:val="pa-2"/>
    <w:basedOn w:val="1"/>
    <w:qFormat/>
    <w:uiPriority w:val="0"/>
    <w:pPr>
      <w:widowControl/>
      <w:shd w:val="clear" w:color="auto" w:fill="FFFFFF"/>
      <w:tabs>
        <w:tab w:val="left" w:pos="426"/>
      </w:tabs>
      <w:adjustRightInd w:val="0"/>
      <w:snapToGrid w:val="0"/>
      <w:spacing w:before="100" w:beforeAutospacing="1" w:after="100" w:afterAutospacing="1" w:line="360" w:lineRule="auto"/>
      <w:jc w:val="left"/>
    </w:pPr>
    <w:rPr>
      <w:rFonts w:ascii="宋体" w:hAnsi="宋体" w:cs="宋体"/>
      <w:kern w:val="0"/>
      <w:sz w:val="24"/>
    </w:rPr>
  </w:style>
  <w:style w:type="paragraph" w:customStyle="1" w:styleId="352">
    <w:name w:val="方案正文段落"/>
    <w:basedOn w:val="1"/>
    <w:link w:val="353"/>
    <w:qFormat/>
    <w:uiPriority w:val="0"/>
    <w:pPr>
      <w:widowControl/>
      <w:shd w:val="clear" w:color="auto" w:fill="FFFFFF"/>
      <w:tabs>
        <w:tab w:val="left" w:pos="426"/>
      </w:tabs>
      <w:adjustRightInd w:val="0"/>
      <w:snapToGrid w:val="0"/>
      <w:spacing w:line="360" w:lineRule="auto"/>
      <w:ind w:firstLine="420" w:firstLineChars="200"/>
    </w:pPr>
    <w:rPr>
      <w:rFonts w:ascii="Times New Roman" w:hAnsi="Times New Roman"/>
      <w:szCs w:val="20"/>
    </w:rPr>
  </w:style>
  <w:style w:type="character" w:customStyle="1" w:styleId="353">
    <w:name w:val="方案正文段落 Char"/>
    <w:link w:val="352"/>
    <w:qFormat/>
    <w:uiPriority w:val="0"/>
    <w:rPr>
      <w:rFonts w:ascii="Times New Roman" w:hAnsi="Times New Roman"/>
      <w:kern w:val="2"/>
      <w:sz w:val="21"/>
      <w:shd w:val="clear" w:color="auto" w:fill="FFFFFF"/>
    </w:rPr>
  </w:style>
  <w:style w:type="paragraph" w:customStyle="1" w:styleId="354">
    <w:name w:val="修订1"/>
    <w:qFormat/>
    <w:uiPriority w:val="99"/>
    <w:pPr>
      <w:spacing w:line="360" w:lineRule="auto"/>
      <w:jc w:val="both"/>
    </w:pPr>
    <w:rPr>
      <w:rFonts w:ascii="Times New Roman" w:hAnsi="Times New Roman" w:eastAsia="宋体" w:cs="Times New Roman"/>
      <w:kern w:val="2"/>
      <w:sz w:val="21"/>
      <w:szCs w:val="24"/>
      <w:lang w:val="en-US" w:eastAsia="zh-CN" w:bidi="ar-SA"/>
    </w:rPr>
  </w:style>
  <w:style w:type="paragraph" w:customStyle="1" w:styleId="355">
    <w:name w:val="模板正文"/>
    <w:basedOn w:val="1"/>
    <w:link w:val="356"/>
    <w:qFormat/>
    <w:uiPriority w:val="0"/>
    <w:pPr>
      <w:wordWrap w:val="0"/>
      <w:spacing w:beforeLines="50" w:line="360" w:lineRule="auto"/>
      <w:ind w:firstLine="200" w:firstLineChars="200"/>
    </w:pPr>
    <w:rPr>
      <w:rFonts w:ascii="Times New Roman" w:hAnsi="Times New Roman" w:eastAsia="仿宋_GB2312"/>
      <w:kern w:val="0"/>
      <w:sz w:val="28"/>
      <w:szCs w:val="21"/>
    </w:rPr>
  </w:style>
  <w:style w:type="character" w:customStyle="1" w:styleId="356">
    <w:name w:val="模板正文 Char"/>
    <w:link w:val="355"/>
    <w:qFormat/>
    <w:uiPriority w:val="0"/>
    <w:rPr>
      <w:rFonts w:ascii="Times New Roman" w:hAnsi="Times New Roman" w:eastAsia="仿宋_GB2312"/>
      <w:sz w:val="28"/>
      <w:szCs w:val="21"/>
    </w:rPr>
  </w:style>
  <w:style w:type="paragraph" w:customStyle="1" w:styleId="357">
    <w:name w:val="普通段落"/>
    <w:qFormat/>
    <w:uiPriority w:val="0"/>
    <w:pPr>
      <w:widowControl w:val="0"/>
      <w:adjustRightInd w:val="0"/>
      <w:spacing w:line="360" w:lineRule="auto"/>
      <w:ind w:firstLine="425"/>
      <w:jc w:val="both"/>
    </w:pPr>
    <w:rPr>
      <w:rFonts w:ascii="Times New Roman" w:hAnsi="Times New Roman" w:eastAsia="宋体" w:cs="Times New Roman"/>
      <w:sz w:val="24"/>
      <w:lang w:val="en-US" w:eastAsia="zh-CN" w:bidi="ar-SA"/>
    </w:rPr>
  </w:style>
  <w:style w:type="paragraph" w:customStyle="1" w:styleId="358">
    <w:name w:val="表格正文"/>
    <w:basedOn w:val="1"/>
    <w:qFormat/>
    <w:uiPriority w:val="0"/>
    <w:pPr>
      <w:spacing w:line="360" w:lineRule="auto"/>
      <w:ind w:firstLine="200" w:firstLineChars="200"/>
    </w:pPr>
    <w:rPr>
      <w:rFonts w:ascii="Arial" w:hAnsi="Arial" w:eastAsia="仿宋_GB2312"/>
      <w:sz w:val="24"/>
      <w:szCs w:val="22"/>
    </w:rPr>
  </w:style>
  <w:style w:type="paragraph" w:customStyle="1" w:styleId="359">
    <w:name w:val="USE 1"/>
    <w:basedOn w:val="1"/>
    <w:qFormat/>
    <w:uiPriority w:val="99"/>
    <w:pPr>
      <w:spacing w:line="200" w:lineRule="atLeast"/>
    </w:pPr>
    <w:rPr>
      <w:rFonts w:ascii="宋体" w:hAnsi="宋体"/>
      <w:b/>
      <w:sz w:val="24"/>
      <w:szCs w:val="28"/>
    </w:rPr>
  </w:style>
  <w:style w:type="table" w:customStyle="1" w:styleId="360">
    <w:name w:val="Table Normal1"/>
    <w:qFormat/>
    <w:uiPriority w:val="2"/>
    <w:pPr>
      <w:widowControl w:val="0"/>
    </w:pPr>
    <w:rPr>
      <w:sz w:val="22"/>
      <w:szCs w:val="22"/>
      <w:lang w:eastAsia="en-US"/>
    </w:rPr>
    <w:tblPr>
      <w:tblCellMar>
        <w:top w:w="0" w:type="dxa"/>
        <w:left w:w="0" w:type="dxa"/>
        <w:bottom w:w="0" w:type="dxa"/>
        <w:right w:w="0" w:type="dxa"/>
      </w:tblCellMar>
    </w:tblPr>
  </w:style>
  <w:style w:type="character" w:customStyle="1" w:styleId="361">
    <w:name w:val="未处理的提及2"/>
    <w:basedOn w:val="53"/>
    <w:qFormat/>
    <w:uiPriority w:val="99"/>
    <w:rPr>
      <w:color w:val="605E5C"/>
      <w:shd w:val="clear" w:color="auto" w:fill="E1DFDD"/>
    </w:rPr>
  </w:style>
  <w:style w:type="character" w:customStyle="1" w:styleId="362">
    <w:name w:val="font61"/>
    <w:basedOn w:val="53"/>
    <w:qFormat/>
    <w:uiPriority w:val="0"/>
    <w:rPr>
      <w:rFonts w:hint="default" w:ascii="Times New Roman" w:hAnsi="Times New Roman" w:cs="Times New Roman"/>
      <w:color w:val="000000"/>
      <w:sz w:val="20"/>
      <w:szCs w:val="20"/>
      <w:u w:val="none"/>
    </w:rPr>
  </w:style>
  <w:style w:type="character" w:customStyle="1" w:styleId="363">
    <w:name w:val="font51"/>
    <w:basedOn w:val="53"/>
    <w:qFormat/>
    <w:uiPriority w:val="0"/>
    <w:rPr>
      <w:rFonts w:hint="eastAsia" w:ascii="宋体" w:hAnsi="宋体" w:eastAsia="宋体" w:cs="宋体"/>
      <w:color w:val="000000"/>
      <w:sz w:val="20"/>
      <w:szCs w:val="20"/>
      <w:u w:val="none"/>
    </w:rPr>
  </w:style>
  <w:style w:type="character" w:customStyle="1" w:styleId="364">
    <w:name w:val="font41"/>
    <w:basedOn w:val="53"/>
    <w:qFormat/>
    <w:uiPriority w:val="0"/>
    <w:rPr>
      <w:rFonts w:hint="default" w:ascii="Times New Roman" w:hAnsi="Times New Roman" w:cs="Times New Roman"/>
      <w:color w:val="000000"/>
      <w:sz w:val="20"/>
      <w:szCs w:val="20"/>
      <w:u w:val="none"/>
    </w:rPr>
  </w:style>
  <w:style w:type="character" w:customStyle="1" w:styleId="365">
    <w:name w:val="font31"/>
    <w:basedOn w:val="53"/>
    <w:qFormat/>
    <w:uiPriority w:val="0"/>
    <w:rPr>
      <w:rFonts w:hint="default" w:ascii="Times New Roman" w:hAnsi="Times New Roman" w:cs="Times New Roman"/>
      <w:color w:val="000000"/>
      <w:sz w:val="20"/>
      <w:szCs w:val="20"/>
      <w:u w:val="none"/>
    </w:rPr>
  </w:style>
  <w:style w:type="character" w:customStyle="1" w:styleId="366">
    <w:name w:val="未处理的提及3"/>
    <w:basedOn w:val="53"/>
    <w:qFormat/>
    <w:uiPriority w:val="99"/>
    <w:rPr>
      <w:color w:val="605E5C"/>
      <w:shd w:val="clear" w:color="auto" w:fill="E1DFDD"/>
    </w:rPr>
  </w:style>
  <w:style w:type="paragraph" w:customStyle="1" w:styleId="367">
    <w:name w:val="修订2"/>
    <w:qFormat/>
    <w:uiPriority w:val="99"/>
    <w:rPr>
      <w:rFonts w:ascii="Calibri" w:hAnsi="Calibri" w:eastAsia="宋体" w:cs="Times New Roman"/>
      <w:kern w:val="2"/>
      <w:sz w:val="21"/>
      <w:szCs w:val="24"/>
      <w:lang w:val="en-US" w:eastAsia="zh-CN" w:bidi="ar-SA"/>
    </w:rPr>
  </w:style>
  <w:style w:type="character" w:customStyle="1" w:styleId="368">
    <w:name w:val="未处理的提及4"/>
    <w:basedOn w:val="53"/>
    <w:qFormat/>
    <w:uiPriority w:val="99"/>
    <w:rPr>
      <w:color w:val="605E5C"/>
      <w:shd w:val="clear" w:color="auto" w:fill="E1DFDD"/>
    </w:rPr>
  </w:style>
  <w:style w:type="paragraph" w:customStyle="1" w:styleId="369">
    <w:name w:val="彩色列表 - 强调文字颜色 111"/>
    <w:basedOn w:val="1"/>
    <w:qFormat/>
    <w:uiPriority w:val="0"/>
    <w:pPr>
      <w:ind w:firstLine="420" w:firstLineChars="200"/>
    </w:pPr>
    <w:rPr>
      <w:rFonts w:ascii="Times New Roman" w:hAnsi="Times New Roman" w:eastAsia="仿宋体"/>
      <w:sz w:val="32"/>
      <w:szCs w:val="32"/>
    </w:rPr>
  </w:style>
  <w:style w:type="paragraph" w:customStyle="1" w:styleId="370">
    <w:name w:val="TOC 标题2"/>
    <w:basedOn w:val="3"/>
    <w:qFormat/>
    <w:uiPriority w:val="39"/>
    <w:pPr>
      <w:widowControl/>
      <w:spacing w:before="240" w:after="0" w:line="259" w:lineRule="auto"/>
      <w:ind w:left="0" w:firstLine="0"/>
      <w:jc w:val="left"/>
      <w:outlineLvl w:val="9"/>
    </w:pPr>
    <w:rPr>
      <w:rFonts w:ascii="Cambria" w:hAnsi="Cambria" w:cs="宋体"/>
      <w:b w:val="0"/>
      <w:bCs w:val="0"/>
      <w:color w:val="A5A5A5"/>
      <w:kern w:val="0"/>
      <w:sz w:val="32"/>
      <w:szCs w:val="32"/>
    </w:rPr>
  </w:style>
  <w:style w:type="paragraph" w:customStyle="1" w:styleId="371">
    <w:name w:val="修订3"/>
    <w:qFormat/>
    <w:uiPriority w:val="99"/>
    <w:rPr>
      <w:rFonts w:ascii="Calibri" w:hAnsi="Calibri" w:eastAsia="宋体" w:cs="Times New Roman"/>
      <w:kern w:val="2"/>
      <w:sz w:val="21"/>
      <w:szCs w:val="24"/>
      <w:lang w:val="en-US" w:eastAsia="zh-CN" w:bidi="ar-SA"/>
    </w:rPr>
  </w:style>
  <w:style w:type="paragraph" w:customStyle="1" w:styleId="372">
    <w:name w:val="修订4"/>
    <w:qFormat/>
    <w:uiPriority w:val="99"/>
    <w:rPr>
      <w:rFonts w:ascii="Calibri" w:hAnsi="Calibri" w:eastAsia="宋体" w:cs="Times New Roman"/>
      <w:kern w:val="2"/>
      <w:sz w:val="21"/>
      <w:szCs w:val="24"/>
      <w:lang w:val="en-US" w:eastAsia="zh-CN" w:bidi="ar-SA"/>
    </w:rPr>
  </w:style>
  <w:style w:type="paragraph" w:customStyle="1" w:styleId="37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4">
    <w:name w:val="x-scope"/>
    <w:basedOn w:val="1"/>
    <w:qFormat/>
    <w:uiPriority w:val="0"/>
    <w:pPr>
      <w:tabs>
        <w:tab w:val="left" w:pos="426"/>
      </w:tabs>
      <w:spacing w:before="100" w:beforeAutospacing="1" w:after="100" w:afterAutospacing="1"/>
    </w:pPr>
  </w:style>
  <w:style w:type="character" w:customStyle="1" w:styleId="375">
    <w:name w:val="qowt-font5-gb2312"/>
    <w:qFormat/>
    <w:uiPriority w:val="0"/>
  </w:style>
  <w:style w:type="paragraph" w:customStyle="1" w:styleId="376">
    <w:name w:val="修订5"/>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wmf"/><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73</Pages>
  <Words>22812</Words>
  <Characters>24294</Characters>
  <Lines>380</Lines>
  <Paragraphs>107</Paragraphs>
  <TotalTime>0</TotalTime>
  <ScaleCrop>false</ScaleCrop>
  <LinksUpToDate>false</LinksUpToDate>
  <CharactersWithSpaces>24456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2025-07-23T18:55:00Z</dcterms:created>
  <dc:creator>Administrator</dc:creator>
  <cp:lastModifiedBy>微信用户</cp:lastModifiedBy>
  <dcterms:modified xsi:type="dcterms:W3CDTF">2025-09-28T01:02:12Z</dcterms:modified>
  <dc:title>涡阳县大剧院升级改造设计与施工一体化项目</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eyJoZGlkIjoiMmMzMDYyZjliY2FiMjNjOTQ1ZDFjNDJkNTIxNGMxNGMiLCJ1c2VySWQiOiIxMjQwODgxMTM5In0=</vt:lpwstr>
  </property>
  <property fmtid="{D5CDD505-2E9C-101B-9397-08002B2CF9AE}" pid="4" name="ICV">
    <vt:lpwstr>3FD65A0EC46C43419E718DB9BD6F51D2_13</vt:lpwstr>
  </property>
</Properties>
</file>