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highlight w:val="none"/>
        </w:rPr>
      </w:pPr>
    </w:p>
    <w:p w14:paraId="6CF62A12">
      <w:pPr>
        <w:pStyle w:val="63"/>
        <w:spacing w:after="78"/>
        <w:rPr>
          <w:rFonts w:ascii="Times New Roman" w:hAnsi="Times New Roman" w:eastAsia="方正小标宋简体"/>
          <w:bCs/>
          <w:sz w:val="32"/>
          <w:szCs w:val="32"/>
          <w:highlight w:val="none"/>
        </w:rPr>
      </w:pPr>
    </w:p>
    <w:p w14:paraId="3AB8F229">
      <w:pPr>
        <w:pStyle w:val="63"/>
        <w:spacing w:after="78"/>
        <w:rPr>
          <w:rFonts w:ascii="Times New Roman" w:hAnsi="Times New Roman" w:eastAsia="方正小标宋简体"/>
          <w:bCs/>
          <w:sz w:val="32"/>
          <w:szCs w:val="32"/>
          <w:highlight w:val="none"/>
        </w:rPr>
      </w:pPr>
    </w:p>
    <w:p w14:paraId="642EDA32">
      <w:pPr>
        <w:spacing w:after="78"/>
        <w:jc w:val="center"/>
        <w:rPr>
          <w:rFonts w:ascii="Times New Roman" w:hAnsi="Times New Roman" w:eastAsia="长城小"/>
          <w:b/>
          <w:sz w:val="44"/>
          <w:szCs w:val="44"/>
          <w:highlight w:val="none"/>
        </w:rPr>
      </w:pPr>
    </w:p>
    <w:p w14:paraId="74759F0E">
      <w:pPr>
        <w:spacing w:after="78"/>
        <w:jc w:val="center"/>
        <w:rPr>
          <w:rFonts w:ascii="Times New Roman" w:hAnsi="Times New Roman" w:eastAsia="长城小"/>
          <w:b/>
          <w:sz w:val="44"/>
          <w:szCs w:val="44"/>
          <w:highlight w:val="none"/>
        </w:rPr>
      </w:pPr>
    </w:p>
    <w:p w14:paraId="5F63D5B1">
      <w:pPr>
        <w:spacing w:after="78"/>
        <w:jc w:val="center"/>
        <w:rPr>
          <w:rFonts w:ascii="Times New Roman" w:hAnsi="Times New Roman" w:eastAsia="长城小"/>
          <w:b/>
          <w:sz w:val="44"/>
          <w:szCs w:val="44"/>
          <w:highlight w:val="none"/>
        </w:rPr>
      </w:pPr>
    </w:p>
    <w:p w14:paraId="1409E003">
      <w:pPr>
        <w:spacing w:after="78"/>
        <w:rPr>
          <w:rFonts w:ascii="Times New Roman" w:hAnsi="Times New Roman" w:eastAsia="长城小"/>
          <w:b/>
          <w:sz w:val="44"/>
          <w:szCs w:val="44"/>
          <w:highlight w:val="none"/>
        </w:rPr>
      </w:pPr>
    </w:p>
    <w:p w14:paraId="59E39E77">
      <w:pPr>
        <w:spacing w:after="78"/>
        <w:jc w:val="center"/>
        <w:rPr>
          <w:rFonts w:ascii="Times New Roman" w:hAnsi="Times New Roman" w:eastAsia="长城小"/>
          <w:b/>
          <w:sz w:val="44"/>
          <w:szCs w:val="44"/>
          <w:highlight w:val="none"/>
        </w:rPr>
      </w:pPr>
    </w:p>
    <w:p w14:paraId="0C43311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深圳市深水</w:t>
      </w:r>
      <w:r>
        <w:rPr>
          <w:rFonts w:hint="eastAsia" w:ascii="Times New Roman" w:hAnsi="Times New Roman" w:eastAsia="长城小标宋体"/>
          <w:b/>
          <w:bCs/>
          <w:sz w:val="44"/>
          <w:szCs w:val="44"/>
          <w:highlight w:val="none"/>
          <w:lang w:val="en-US" w:eastAsia="zh-CN"/>
        </w:rPr>
        <w:t>横岗</w:t>
      </w:r>
      <w:r>
        <w:rPr>
          <w:rFonts w:hint="eastAsia" w:ascii="Times New Roman" w:hAnsi="Times New Roman" w:eastAsia="长城小标宋体"/>
          <w:b/>
          <w:bCs/>
          <w:sz w:val="44"/>
          <w:szCs w:val="44"/>
          <w:highlight w:val="none"/>
        </w:rPr>
        <w:t>水务有限</w:t>
      </w:r>
      <w:r>
        <w:rPr>
          <w:rFonts w:ascii="Times New Roman" w:hAnsi="Times New Roman" w:eastAsia="长城小标宋体"/>
          <w:b/>
          <w:bCs/>
          <w:sz w:val="44"/>
          <w:szCs w:val="44"/>
          <w:highlight w:val="none"/>
        </w:rPr>
        <w:t>公司</w:t>
      </w:r>
    </w:p>
    <w:p w14:paraId="7E25B4AB">
      <w:pPr>
        <w:spacing w:after="78" w:line="640" w:lineRule="exact"/>
        <w:jc w:val="center"/>
        <w:rPr>
          <w:rFonts w:hint="eastAsia"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lang w:val="en-US" w:eastAsia="zh-CN"/>
        </w:rPr>
        <w:t>进水提升泵维修服务采购项目</w:t>
      </w:r>
    </w:p>
    <w:p w14:paraId="08BF34D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询价</w:t>
      </w:r>
      <w:r>
        <w:rPr>
          <w:rFonts w:ascii="Times New Roman" w:hAnsi="Times New Roman" w:eastAsia="长城小标宋体"/>
          <w:b/>
          <w:bCs/>
          <w:sz w:val="44"/>
          <w:szCs w:val="44"/>
          <w:highlight w:val="none"/>
        </w:rPr>
        <w:t>告知函</w:t>
      </w:r>
    </w:p>
    <w:p w14:paraId="2A5B151E">
      <w:pPr>
        <w:spacing w:after="78"/>
        <w:rPr>
          <w:rFonts w:ascii="Times New Roman" w:hAnsi="Times New Roman" w:eastAsia="方正小标宋简体"/>
          <w:sz w:val="32"/>
          <w:szCs w:val="32"/>
          <w:highlight w:val="none"/>
        </w:rPr>
      </w:pPr>
    </w:p>
    <w:p w14:paraId="0345E0CA">
      <w:pPr>
        <w:spacing w:after="78"/>
        <w:rPr>
          <w:rFonts w:ascii="Times New Roman" w:hAnsi="Times New Roman" w:eastAsia="方正小标宋简体"/>
          <w:sz w:val="32"/>
          <w:szCs w:val="32"/>
          <w:highlight w:val="none"/>
        </w:rPr>
      </w:pPr>
    </w:p>
    <w:p w14:paraId="2ACD6466">
      <w:pPr>
        <w:spacing w:after="78"/>
        <w:rPr>
          <w:rFonts w:ascii="Times New Roman" w:hAnsi="Times New Roman" w:eastAsia="方正小标宋简体"/>
          <w:sz w:val="32"/>
          <w:szCs w:val="32"/>
          <w:highlight w:val="none"/>
        </w:rPr>
      </w:pPr>
    </w:p>
    <w:p w14:paraId="24916DAF">
      <w:pPr>
        <w:spacing w:after="78"/>
        <w:rPr>
          <w:highlight w:val="none"/>
        </w:rPr>
      </w:pPr>
    </w:p>
    <w:p w14:paraId="7A2987C5">
      <w:pPr>
        <w:spacing w:after="78"/>
        <w:rPr>
          <w:rFonts w:ascii="Times New Roman" w:hAnsi="Times New Roman" w:eastAsia="方正小标宋简体"/>
          <w:sz w:val="32"/>
          <w:szCs w:val="32"/>
          <w:highlight w:val="none"/>
        </w:rPr>
      </w:pPr>
    </w:p>
    <w:p w14:paraId="264A8F6C">
      <w:pPr>
        <w:spacing w:after="78"/>
        <w:rPr>
          <w:rFonts w:ascii="Times New Roman" w:hAnsi="Times New Roman" w:eastAsia="方正小标宋简体"/>
          <w:sz w:val="32"/>
          <w:szCs w:val="32"/>
          <w:highlight w:val="none"/>
        </w:rPr>
      </w:pPr>
    </w:p>
    <w:p w14:paraId="156CE9A5">
      <w:pPr>
        <w:pStyle w:val="8"/>
        <w:rPr>
          <w:rFonts w:ascii="Times New Roman" w:hAnsi="Times New Roman" w:eastAsia="方正小标宋简体"/>
          <w:sz w:val="32"/>
          <w:szCs w:val="32"/>
          <w:highlight w:val="none"/>
        </w:rPr>
      </w:pPr>
    </w:p>
    <w:p w14:paraId="0E4C1664">
      <w:pPr>
        <w:spacing w:after="78"/>
        <w:rPr>
          <w:highlight w:val="none"/>
        </w:rPr>
      </w:pPr>
    </w:p>
    <w:p w14:paraId="677BC922">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051A8358">
      <w:pPr>
        <w:pStyle w:val="3"/>
        <w:numPr>
          <w:ilvl w:val="0"/>
          <w:numId w:val="2"/>
        </w:numPr>
        <w:spacing w:before="0" w:after="78" w:afterLines="-2147483648" w:line="240" w:lineRule="auto"/>
        <w:jc w:val="center"/>
        <w:rPr>
          <w:rFonts w:hint="eastAsia" w:ascii="黑体" w:hAnsi="黑体" w:eastAsia="黑体"/>
          <w:b/>
          <w:bCs/>
          <w:sz w:val="32"/>
          <w:szCs w:val="32"/>
          <w:highlight w:val="none"/>
        </w:rPr>
      </w:pPr>
      <w:r>
        <w:rPr>
          <w:rFonts w:hint="eastAsia" w:ascii="黑体" w:hAnsi="黑体" w:eastAsia="黑体"/>
          <w:b/>
          <w:bCs/>
          <w:sz w:val="32"/>
          <w:szCs w:val="32"/>
          <w:highlight w:val="none"/>
        </w:rPr>
        <w:t>项目关键信息</w:t>
      </w:r>
    </w:p>
    <w:p w14:paraId="387A799A">
      <w:pPr>
        <w:spacing w:after="78"/>
        <w:rPr>
          <w:highlight w:val="none"/>
        </w:rPr>
      </w:pPr>
    </w:p>
    <w:p w14:paraId="3B630080">
      <w:pPr>
        <w:pStyle w:val="40"/>
        <w:spacing w:after="78" w:line="640" w:lineRule="exact"/>
        <w:ind w:firstLine="640"/>
        <w:rPr>
          <w:rFonts w:eastAsia="黑体"/>
          <w:sz w:val="32"/>
          <w:szCs w:val="32"/>
          <w:highlight w:val="none"/>
        </w:rPr>
      </w:pPr>
      <w:r>
        <w:rPr>
          <w:rFonts w:hint="eastAsia" w:eastAsia="黑体"/>
          <w:sz w:val="32"/>
          <w:szCs w:val="32"/>
          <w:highlight w:val="none"/>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（一）采购项目名称：</w:t>
      </w:r>
      <w:r>
        <w:rPr>
          <w:rFonts w:hint="eastAsia" w:ascii="Times New Roman" w:hAnsi="Times New Roman" w:eastAsia="仿宋" w:cs="Times New Roman"/>
          <w:sz w:val="32"/>
          <w:szCs w:val="32"/>
          <w:highlight w:val="none"/>
          <w:lang w:val="en-US" w:eastAsia="zh-CN"/>
        </w:rPr>
        <w:t>进水提升泵维修服务采购项目</w:t>
      </w:r>
      <w:r>
        <w:rPr>
          <w:rFonts w:hint="eastAsia" w:ascii="Times New Roman" w:hAnsi="Times New Roman" w:eastAsia="仿宋_GB2312"/>
          <w:bCs/>
          <w:color w:val="000000"/>
          <w:sz w:val="32"/>
          <w:szCs w:val="32"/>
          <w:highlight w:val="none"/>
          <w:lang w:val="en-US" w:eastAsia="zh-CN"/>
        </w:rPr>
        <w:t>。</w:t>
      </w:r>
    </w:p>
    <w:p w14:paraId="47C5D9B6">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0"/>
        <w:tblW w:w="5030" w:type="pct"/>
        <w:jc w:val="center"/>
        <w:tblLayout w:type="fixed"/>
        <w:tblCellMar>
          <w:top w:w="0" w:type="dxa"/>
          <w:left w:w="108" w:type="dxa"/>
          <w:bottom w:w="0" w:type="dxa"/>
          <w:right w:w="108" w:type="dxa"/>
        </w:tblCellMar>
      </w:tblPr>
      <w:tblGrid>
        <w:gridCol w:w="660"/>
        <w:gridCol w:w="1440"/>
        <w:gridCol w:w="2013"/>
        <w:gridCol w:w="1285"/>
        <w:gridCol w:w="3165"/>
      </w:tblGrid>
      <w:tr w14:paraId="6E1B12AB">
        <w:tblPrEx>
          <w:tblCellMar>
            <w:top w:w="0" w:type="dxa"/>
            <w:left w:w="108" w:type="dxa"/>
            <w:bottom w:w="0" w:type="dxa"/>
            <w:right w:w="108" w:type="dxa"/>
          </w:tblCellMar>
        </w:tblPrEx>
        <w:trPr>
          <w:trHeight w:val="50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13A9E115">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序号</w:t>
            </w:r>
          </w:p>
        </w:tc>
        <w:tc>
          <w:tcPr>
            <w:tcW w:w="840" w:type="pct"/>
            <w:tcBorders>
              <w:top w:val="single" w:color="auto" w:sz="4" w:space="0"/>
              <w:left w:val="nil"/>
              <w:bottom w:val="single" w:color="auto" w:sz="4" w:space="0"/>
              <w:right w:val="single" w:color="auto" w:sz="4" w:space="0"/>
            </w:tcBorders>
            <w:vAlign w:val="center"/>
          </w:tcPr>
          <w:p w14:paraId="5FACE291">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名称</w:t>
            </w:r>
          </w:p>
        </w:tc>
        <w:tc>
          <w:tcPr>
            <w:tcW w:w="1175" w:type="pct"/>
            <w:tcBorders>
              <w:top w:val="single" w:color="auto" w:sz="4" w:space="0"/>
              <w:left w:val="nil"/>
              <w:bottom w:val="single" w:color="auto" w:sz="4" w:space="0"/>
              <w:right w:val="single" w:color="auto" w:sz="4" w:space="0"/>
            </w:tcBorders>
            <w:vAlign w:val="center"/>
          </w:tcPr>
          <w:p w14:paraId="56CACF3B">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型号</w:t>
            </w:r>
          </w:p>
        </w:tc>
        <w:tc>
          <w:tcPr>
            <w:tcW w:w="750" w:type="pct"/>
            <w:tcBorders>
              <w:top w:val="single" w:color="auto" w:sz="4" w:space="0"/>
              <w:left w:val="nil"/>
              <w:bottom w:val="single" w:color="auto" w:sz="4" w:space="0"/>
              <w:right w:val="single" w:color="auto" w:sz="4" w:space="0"/>
            </w:tcBorders>
            <w:vAlign w:val="center"/>
          </w:tcPr>
          <w:p w14:paraId="1FAB76FF">
            <w:pPr>
              <w:widowControl/>
              <w:spacing w:after="78"/>
              <w:jc w:val="center"/>
              <w:rPr>
                <w:rFonts w:hint="eastAsia" w:ascii="宋体" w:hAnsi="宋体" w:eastAsia="宋体" w:cs="宋体"/>
                <w:b/>
                <w:bCs/>
                <w:kern w:val="0"/>
                <w:sz w:val="28"/>
                <w:szCs w:val="28"/>
                <w:highlight w:val="none"/>
                <w:lang w:eastAsia="zh-CN"/>
              </w:rPr>
            </w:pPr>
            <w:r>
              <w:rPr>
                <w:rFonts w:hint="eastAsia" w:ascii="宋体" w:hAnsi="宋体" w:eastAsia="宋体" w:cs="宋体"/>
                <w:b/>
                <w:bCs/>
                <w:kern w:val="0"/>
                <w:sz w:val="28"/>
                <w:szCs w:val="28"/>
                <w:highlight w:val="none"/>
                <w:lang w:val="en-US" w:eastAsia="zh-CN"/>
              </w:rPr>
              <w:t>暂定</w:t>
            </w:r>
            <w:r>
              <w:rPr>
                <w:rFonts w:hint="eastAsia" w:ascii="宋体" w:hAnsi="宋体" w:eastAsia="宋体" w:cs="宋体"/>
                <w:b/>
                <w:bCs/>
                <w:kern w:val="0"/>
                <w:sz w:val="28"/>
                <w:szCs w:val="28"/>
                <w:highlight w:val="none"/>
              </w:rPr>
              <w:t>数量</w:t>
            </w:r>
            <w:r>
              <w:rPr>
                <w:rFonts w:hint="eastAsia" w:ascii="宋体" w:hAnsi="宋体" w:eastAsia="宋体" w:cs="宋体"/>
                <w:b/>
                <w:bCs/>
                <w:kern w:val="0"/>
                <w:sz w:val="28"/>
                <w:szCs w:val="28"/>
                <w:highlight w:val="none"/>
                <w:lang w:eastAsia="zh-CN"/>
              </w:rPr>
              <w:t>（</w:t>
            </w:r>
            <w:r>
              <w:rPr>
                <w:rFonts w:hint="eastAsia" w:ascii="宋体" w:hAnsi="宋体" w:eastAsia="宋体" w:cs="宋体"/>
                <w:b/>
                <w:bCs/>
                <w:kern w:val="0"/>
                <w:sz w:val="28"/>
                <w:szCs w:val="28"/>
                <w:highlight w:val="none"/>
                <w:lang w:val="en-US" w:eastAsia="zh-CN"/>
              </w:rPr>
              <w:t>台</w:t>
            </w:r>
            <w:r>
              <w:rPr>
                <w:rFonts w:hint="eastAsia" w:ascii="宋体" w:hAnsi="宋体" w:eastAsia="宋体" w:cs="宋体"/>
                <w:b/>
                <w:bCs/>
                <w:kern w:val="0"/>
                <w:sz w:val="28"/>
                <w:szCs w:val="28"/>
                <w:highlight w:val="none"/>
                <w:lang w:eastAsia="zh-CN"/>
              </w:rPr>
              <w:t>）</w:t>
            </w:r>
          </w:p>
        </w:tc>
        <w:tc>
          <w:tcPr>
            <w:tcW w:w="1848" w:type="pct"/>
            <w:tcBorders>
              <w:top w:val="single" w:color="auto" w:sz="4" w:space="0"/>
              <w:left w:val="nil"/>
              <w:bottom w:val="single" w:color="auto" w:sz="4" w:space="0"/>
              <w:right w:val="single" w:color="auto" w:sz="4" w:space="0"/>
            </w:tcBorders>
            <w:vAlign w:val="center"/>
          </w:tcPr>
          <w:p w14:paraId="4174B8C4">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备注</w:t>
            </w:r>
          </w:p>
        </w:tc>
      </w:tr>
      <w:tr w14:paraId="2089BCF2">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44046EA5">
            <w:pPr>
              <w:widowControl/>
              <w:spacing w:after="78"/>
              <w:jc w:val="center"/>
              <w:rPr>
                <w:rFonts w:hint="eastAsia"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w:t>
            </w:r>
          </w:p>
        </w:tc>
        <w:tc>
          <w:tcPr>
            <w:tcW w:w="840" w:type="pct"/>
            <w:tcBorders>
              <w:top w:val="single" w:color="auto" w:sz="4" w:space="0"/>
              <w:left w:val="single" w:color="auto" w:sz="4" w:space="0"/>
              <w:bottom w:val="single" w:color="auto" w:sz="4" w:space="0"/>
              <w:right w:val="single" w:color="auto" w:sz="4" w:space="0"/>
            </w:tcBorders>
            <w:shd w:val="clear" w:color="auto" w:fill="auto"/>
            <w:vAlign w:val="center"/>
          </w:tcPr>
          <w:p w14:paraId="7D40E048">
            <w:pPr>
              <w:keepNext w:val="0"/>
              <w:keepLines w:val="0"/>
              <w:widowControl/>
              <w:suppressLineNumbers w:val="0"/>
              <w:jc w:val="center"/>
              <w:rPr>
                <w:rFonts w:hint="eastAsia" w:ascii="宋体" w:hAnsi="宋体" w:eastAsia="宋体" w:cs="宋体"/>
                <w:bCs/>
                <w:color w:val="000000"/>
                <w:sz w:val="28"/>
                <w:szCs w:val="28"/>
                <w:highlight w:val="none"/>
                <w:lang w:val="en-US" w:eastAsia="zh-CN"/>
              </w:rPr>
            </w:pPr>
            <w:r>
              <w:rPr>
                <w:rFonts w:hint="eastAsia" w:ascii="Times New Roman" w:hAnsi="Times New Roman" w:eastAsia="仿宋_GB2312"/>
                <w:bCs/>
                <w:color w:val="000000"/>
                <w:sz w:val="28"/>
                <w:szCs w:val="28"/>
                <w:highlight w:val="none"/>
                <w:lang w:val="en-US" w:eastAsia="zh-CN"/>
              </w:rPr>
              <w:t>进水提升泵维修服务</w:t>
            </w:r>
          </w:p>
        </w:tc>
        <w:tc>
          <w:tcPr>
            <w:tcW w:w="1175" w:type="pct"/>
            <w:tcBorders>
              <w:top w:val="single" w:color="auto" w:sz="4" w:space="0"/>
              <w:left w:val="single" w:color="auto" w:sz="4" w:space="0"/>
              <w:bottom w:val="single" w:color="auto" w:sz="4" w:space="0"/>
              <w:right w:val="single" w:color="auto" w:sz="4" w:space="0"/>
            </w:tcBorders>
            <w:shd w:val="clear" w:color="auto" w:fill="auto"/>
            <w:vAlign w:val="center"/>
          </w:tcPr>
          <w:p w14:paraId="3A76B031">
            <w:pPr>
              <w:keepNext w:val="0"/>
              <w:keepLines w:val="0"/>
              <w:widowControl/>
              <w:suppressLineNumbers w:val="0"/>
              <w:jc w:val="center"/>
              <w:rPr>
                <w:rFonts w:hint="eastAsia" w:ascii="宋体" w:hAnsi="宋体" w:eastAsia="宋体" w:cs="宋体"/>
                <w:bCs/>
                <w:color w:val="000000"/>
                <w:kern w:val="2"/>
                <w:sz w:val="28"/>
                <w:szCs w:val="28"/>
                <w:highlight w:val="none"/>
                <w:lang w:val="en-US" w:eastAsia="zh-CN" w:bidi="ar-SA"/>
              </w:rPr>
            </w:pPr>
            <w:r>
              <w:rPr>
                <w:rFonts w:hint="eastAsia" w:ascii="Times New Roman" w:hAnsi="Times New Roman" w:eastAsia="仿宋_GB2312" w:cs="Times New Roman"/>
                <w:bCs/>
                <w:color w:val="000000"/>
                <w:kern w:val="2"/>
                <w:sz w:val="28"/>
                <w:szCs w:val="28"/>
                <w:highlight w:val="none"/>
                <w:lang w:val="en-US" w:eastAsia="zh-CN" w:bidi="ar-SA"/>
              </w:rPr>
              <w:t>海斯特水泵（90KW），H12K-HD1+HE130X4+NE1B8IM+AS-PH12X300.Q71211:</w:t>
            </w:r>
          </w:p>
        </w:tc>
        <w:tc>
          <w:tcPr>
            <w:tcW w:w="750" w:type="pct"/>
            <w:tcBorders>
              <w:top w:val="single" w:color="auto" w:sz="4" w:space="0"/>
              <w:left w:val="single" w:color="auto" w:sz="4" w:space="0"/>
              <w:bottom w:val="single" w:color="auto" w:sz="4" w:space="0"/>
              <w:right w:val="single" w:color="auto" w:sz="4" w:space="0"/>
            </w:tcBorders>
            <w:shd w:val="clear" w:color="auto" w:fill="auto"/>
            <w:vAlign w:val="center"/>
          </w:tcPr>
          <w:p w14:paraId="73D3AF40">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5</w:t>
            </w:r>
          </w:p>
        </w:tc>
        <w:tc>
          <w:tcPr>
            <w:tcW w:w="1848" w:type="pct"/>
            <w:tcBorders>
              <w:top w:val="single" w:color="auto" w:sz="4" w:space="0"/>
              <w:left w:val="single" w:color="auto" w:sz="4" w:space="0"/>
              <w:bottom w:val="single" w:color="auto" w:sz="4" w:space="0"/>
              <w:right w:val="single" w:color="auto" w:sz="4" w:space="0"/>
            </w:tcBorders>
            <w:shd w:val="clear" w:color="auto" w:fill="auto"/>
            <w:vAlign w:val="center"/>
          </w:tcPr>
          <w:p w14:paraId="56928A3A">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仿宋" w:hAnsi="仿宋" w:eastAsia="仿宋" w:cs="仿宋"/>
                <w:sz w:val="28"/>
                <w:szCs w:val="28"/>
                <w:highlight w:val="none"/>
                <w:lang w:val="en-US" w:eastAsia="zh-CN"/>
              </w:rPr>
              <w:t>服务包含：电机、电缆维修保养；轴承、机封更换；泵体、导流筒、叶轮（双相不锈钢）、蜗壳等部位陶瓷防磨修复；水泵拆卸、组装调试等整体各部位大修服务；来回运输服务</w:t>
            </w:r>
          </w:p>
        </w:tc>
      </w:tr>
    </w:tbl>
    <w:p w14:paraId="7FE0750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采购人不对服务期限内授予中选单位的采购份额、采购合同总额进行承诺，上表所列预估量仅供投标人参考使用，不作为招标人对实际采购量的承诺或保证。采购单位的实际需求数量以采购人每批次的通知为准，在</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期内参选单位不得因采购单位实际采购数量的减少或增加而要求提供任何形式的补偿或赔偿或要求采购人按暂定数量采购相应</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w:t>
      </w:r>
    </w:p>
    <w:p w14:paraId="6BBE26EA">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供应商报价应包括但不限于人员工资和福利、技术服务费、维修费、保险、差旅费、调研费、交通费、办公设施和设备、通讯设备、管理费、利润、增值税税金等与本合同全部工作内容有关的一切费用。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20</w:t>
      </w:r>
      <w:r>
        <w:rPr>
          <w:rFonts w:hint="eastAsia" w:ascii="Times New Roman" w:hAnsi="Times New Roman" w:eastAsia="仿宋_GB2312"/>
          <w:bCs/>
          <w:color w:val="000000"/>
          <w:sz w:val="32"/>
          <w:szCs w:val="32"/>
          <w:highlight w:val="none"/>
        </w:rPr>
        <w:t>万元（报价总价不得超过限价要求，否则做无效报价）。</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（四）采购期限：</w:t>
      </w:r>
      <w:r>
        <w:rPr>
          <w:rFonts w:hint="eastAsia" w:ascii="Times New Roman" w:hAnsi="Times New Roman" w:eastAsia="仿宋_GB2312"/>
          <w:bCs/>
          <w:color w:val="000000"/>
          <w:sz w:val="32"/>
          <w:szCs w:val="32"/>
          <w:highlight w:val="none"/>
          <w:lang w:val="en-US" w:eastAsia="zh-CN"/>
        </w:rPr>
        <w:t>12个月。每批次水泵修复服务应当在收到采购人需求订单后10个日历日内完成，质保期为验收合格后一年</w:t>
      </w:r>
      <w:r>
        <w:rPr>
          <w:rFonts w:hint="eastAsia" w:ascii="Times New Roman" w:hAnsi="Times New Roman" w:eastAsia="仿宋_GB2312"/>
          <w:bCs/>
          <w:color w:val="000000"/>
          <w:sz w:val="32"/>
          <w:szCs w:val="32"/>
          <w:highlight w:val="none"/>
          <w:lang w:eastAsia="zh-CN"/>
        </w:rPr>
        <w:t>；</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签订单价合同，每批次水泵完成维修安装调试并验收合格后支付该批次服务对应金额的95%，质保期一年满后支付该批次服务金额的5%作为质保金</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highlight w:val="none"/>
        </w:rPr>
      </w:pPr>
      <w:bookmarkStart w:id="1" w:name="_Hlk173241672"/>
      <w:r>
        <w:rPr>
          <w:rFonts w:hint="eastAsia" w:ascii="Times New Roman" w:hAnsi="Times New Roman" w:eastAsia="仿宋_GB2312"/>
          <w:bCs/>
          <w:color w:val="000000"/>
          <w:sz w:val="32"/>
          <w:szCs w:val="32"/>
          <w:highlight w:val="none"/>
        </w:rPr>
        <w:t>（一）</w:t>
      </w:r>
      <w:r>
        <w:rPr>
          <w:rFonts w:ascii="Times New Roman" w:hAnsi="Times New Roman" w:eastAsia="仿宋_GB2312"/>
          <w:bCs/>
          <w:color w:val="000000"/>
          <w:sz w:val="32"/>
          <w:szCs w:val="32"/>
          <w:highlight w:val="none"/>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highlight w:val="none"/>
        </w:rPr>
      </w:pPr>
      <w:r>
        <w:rPr>
          <w:rFonts w:hint="eastAsia" w:ascii="Times New Roman" w:hAnsi="Times New Roman" w:eastAsia="仿宋_GB2312"/>
          <w:bCs/>
          <w:color w:val="000000"/>
          <w:sz w:val="32"/>
          <w:szCs w:val="32"/>
          <w:highlight w:val="none"/>
        </w:rPr>
        <w:t>（二）</w:t>
      </w:r>
      <w:r>
        <w:rPr>
          <w:rFonts w:hint="eastAsia" w:ascii="Times New Roman" w:hAnsi="Times New Roman" w:eastAsia="仿宋" w:cs="仿宋"/>
          <w:kern w:val="0"/>
          <w:sz w:val="32"/>
          <w:szCs w:val="32"/>
          <w:highlight w:val="none"/>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bCs/>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
          <w:bCs/>
          <w:sz w:val="32"/>
          <w:szCs w:val="32"/>
          <w:highlight w:val="none"/>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（四）</w:t>
      </w:r>
      <w:r>
        <w:rPr>
          <w:rFonts w:hint="eastAsia" w:ascii="Times New Roman" w:hAnsi="Times New Roman" w:eastAsia="仿宋_GB2312"/>
          <w:color w:val="000000"/>
          <w:sz w:val="32"/>
          <w:szCs w:val="32"/>
          <w:highlight w:val="none"/>
        </w:rPr>
        <w:t>近两年内</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月至今）</w:t>
      </w:r>
      <w:r>
        <w:rPr>
          <w:rFonts w:hint="eastAsia" w:ascii="Times New Roman" w:hAnsi="Times New Roman" w:eastAsia="仿宋_GB2312"/>
          <w:color w:val="000000"/>
          <w:sz w:val="32"/>
          <w:szCs w:val="32"/>
          <w:highlight w:val="none"/>
        </w:rPr>
        <w:t>或成立至今</w:t>
      </w:r>
      <w:r>
        <w:rPr>
          <w:rFonts w:ascii="仿宋_GB2312" w:hAnsi="仿宋" w:eastAsia="仿宋_GB2312"/>
          <w:color w:val="000000"/>
          <w:sz w:val="32"/>
          <w:szCs w:val="32"/>
          <w:highlight w:val="none"/>
        </w:rPr>
        <w:t>（成立不足</w:t>
      </w:r>
      <w:r>
        <w:rPr>
          <w:rFonts w:hint="eastAsia" w:ascii="Times New Roman" w:hAnsi="Times New Roman" w:eastAsia="仿宋_GB2312"/>
          <w:color w:val="000000"/>
          <w:sz w:val="32"/>
          <w:szCs w:val="32"/>
          <w:highlight w:val="none"/>
        </w:rPr>
        <w:t>两</w:t>
      </w:r>
      <w:r>
        <w:rPr>
          <w:rFonts w:ascii="Times New Roman" w:hAnsi="Times New Roman" w:eastAsia="仿宋_GB2312"/>
          <w:color w:val="000000"/>
          <w:sz w:val="32"/>
          <w:szCs w:val="32"/>
          <w:highlight w:val="none"/>
        </w:rPr>
        <w:t>年的单位）</w:t>
      </w:r>
      <w:r>
        <w:rPr>
          <w:rFonts w:hint="eastAsia" w:ascii="Times New Roman" w:hAnsi="Times New Roman" w:eastAsia="仿宋_GB2312"/>
          <w:color w:val="000000"/>
          <w:sz w:val="32"/>
          <w:szCs w:val="32"/>
          <w:highlight w:val="none"/>
        </w:rPr>
        <w:t>至少具备一项正在实施或已完成的类似业绩</w:t>
      </w:r>
      <w:r>
        <w:rPr>
          <w:rFonts w:hint="eastAsia" w:ascii="Times New Roman" w:hAnsi="Times New Roman" w:eastAsia="仿宋_GB2312"/>
          <w:bCs/>
          <w:color w:val="000000"/>
          <w:sz w:val="32"/>
          <w:szCs w:val="32"/>
          <w:highlight w:val="none"/>
        </w:rPr>
        <w:t>（</w:t>
      </w:r>
      <w:r>
        <w:rPr>
          <w:rFonts w:hint="eastAsia" w:ascii="Times New Roman" w:hAnsi="Times New Roman" w:eastAsia="仿宋"/>
          <w:bCs/>
          <w:sz w:val="32"/>
          <w:szCs w:val="32"/>
          <w:highlight w:val="none"/>
          <w:lang w:val="en-US" w:eastAsia="zh-CN"/>
        </w:rPr>
        <w:t>提供业绩证明材料</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color w:val="000000"/>
          <w:sz w:val="32"/>
          <w:szCs w:val="32"/>
          <w:highlight w:val="none"/>
        </w:rPr>
        <w:t>；</w:t>
      </w:r>
    </w:p>
    <w:p w14:paraId="623A1948">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（五）单位负责人为同一人或者存在直接控股、管理关系的不同供应商，不得参加同一合同项下的采购活动（</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0D82D081">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（六）不接受联合体参选（</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（七）参选单位须到项目现场踏勘（提供踏勘确认单复印件加盖参选单位</w:t>
      </w:r>
      <w:r>
        <w:rPr>
          <w:rFonts w:hint="eastAsia" w:ascii="Times New Roman" w:hAnsi="Times New Roman" w:eastAsia="仿宋_GB2312"/>
          <w:bCs/>
          <w:color w:val="000000"/>
          <w:sz w:val="32"/>
          <w:szCs w:val="32"/>
          <w:highlight w:val="none"/>
          <w:lang w:val="en-US" w:eastAsia="zh-CN"/>
        </w:rPr>
        <w:t>印章</w:t>
      </w:r>
      <w:r>
        <w:rPr>
          <w:rFonts w:hint="eastAsia" w:ascii="Times New Roman" w:hAnsi="Times New Roman" w:eastAsia="仿宋_GB2312"/>
          <w:bCs/>
          <w:color w:val="000000"/>
          <w:sz w:val="32"/>
          <w:szCs w:val="32"/>
          <w:highlight w:val="none"/>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bookmarkStart w:id="2" w:name="_Hlk173767070"/>
      <w:r>
        <w:rPr>
          <w:rFonts w:hint="eastAsia" w:ascii="Times New Roman" w:hAnsi="Times New Roman" w:eastAsia="仿宋_GB2312"/>
          <w:bCs/>
          <w:color w:val="000000"/>
          <w:sz w:val="32"/>
          <w:szCs w:val="32"/>
          <w:highlight w:val="none"/>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2.资质文件（</w:t>
      </w:r>
      <w:bookmarkStart w:id="3" w:name="_Hlk178270536"/>
      <w:r>
        <w:rPr>
          <w:rFonts w:hint="eastAsia" w:ascii="Times New Roman" w:hAnsi="Times New Roman" w:eastAsia="仿宋_GB2312"/>
          <w:bCs/>
          <w:color w:val="000000"/>
          <w:sz w:val="32"/>
          <w:szCs w:val="32"/>
          <w:highlight w:val="none"/>
        </w:rPr>
        <w:t>营业执照、承诺函、</w:t>
      </w:r>
      <w:r>
        <w:rPr>
          <w:rFonts w:hint="eastAsia" w:ascii="Times New Roman" w:hAnsi="Times New Roman" w:eastAsia="仿宋_GB2312"/>
          <w:bCs/>
          <w:color w:val="000000"/>
          <w:sz w:val="32"/>
          <w:szCs w:val="32"/>
          <w:highlight w:val="none"/>
          <w:lang w:val="en-US" w:eastAsia="zh-CN"/>
        </w:rPr>
        <w:t>业绩证明、</w:t>
      </w:r>
      <w:r>
        <w:rPr>
          <w:rFonts w:hint="eastAsia" w:ascii="Times New Roman" w:hAnsi="Times New Roman" w:eastAsia="仿宋_GB2312"/>
          <w:bCs/>
          <w:color w:val="000000"/>
          <w:sz w:val="32"/>
          <w:szCs w:val="32"/>
          <w:highlight w:val="none"/>
        </w:rPr>
        <w:t>踏勘确认表</w:t>
      </w:r>
      <w:bookmarkEnd w:id="3"/>
      <w:r>
        <w:rPr>
          <w:rFonts w:hint="eastAsia" w:ascii="Times New Roman" w:hAnsi="Times New Roman" w:eastAsia="仿宋_GB2312"/>
          <w:bCs/>
          <w:color w:val="000000"/>
          <w:sz w:val="32"/>
          <w:szCs w:val="32"/>
          <w:highlight w:val="none"/>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以上格式可参考</w:t>
      </w:r>
      <w:r>
        <w:rPr>
          <w:rFonts w:hint="eastAsia" w:ascii="仿宋" w:hAnsi="仿宋" w:eastAsia="仿宋" w:cs="仿宋"/>
          <w:b/>
          <w:bCs/>
          <w:kern w:val="0"/>
          <w:sz w:val="32"/>
          <w:szCs w:val="32"/>
          <w:highlight w:val="none"/>
        </w:rPr>
        <w:t>第三章 报价文件格式</w:t>
      </w:r>
      <w:r>
        <w:rPr>
          <w:rFonts w:hint="eastAsia" w:ascii="仿宋" w:hAnsi="仿宋" w:eastAsia="仿宋" w:cs="仿宋"/>
          <w:kern w:val="0"/>
          <w:sz w:val="32"/>
          <w:szCs w:val="32"/>
          <w:highlight w:val="none"/>
        </w:rPr>
        <w:t>，以上资料均需加盖公章、业务章或合同章（三选一）</w:t>
      </w:r>
      <w:r>
        <w:rPr>
          <w:rFonts w:hint="eastAsia" w:ascii="Times New Roman" w:hAnsi="Times New Roman" w:eastAsia="仿宋_GB2312"/>
          <w:bCs/>
          <w:color w:val="000000"/>
          <w:sz w:val="32"/>
          <w:szCs w:val="32"/>
          <w:highlight w:val="none"/>
        </w:rPr>
        <w:t>，否则报价无效</w:t>
      </w:r>
      <w:r>
        <w:rPr>
          <w:rFonts w:hint="eastAsia" w:ascii="仿宋" w:hAnsi="仿宋" w:eastAsia="仿宋" w:cs="仿宋"/>
          <w:kern w:val="0"/>
          <w:sz w:val="32"/>
          <w:szCs w:val="32"/>
          <w:highlight w:val="none"/>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四、选聘程序</w:t>
      </w:r>
    </w:p>
    <w:p w14:paraId="35FE6782">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本次采用线上选聘，具体程序如下：</w:t>
      </w:r>
    </w:p>
    <w:p w14:paraId="7BD5ADB4">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（一）在截止报价时间前，各参选单位以邮件形式递交报价文件至询价公告指定邮箱</w:t>
      </w:r>
      <w:r>
        <w:rPr>
          <w:rFonts w:hint="eastAsia" w:ascii="Times New Roman" w:hAnsi="Times New Roman" w:eastAsia="仿宋_GB2312"/>
          <w:sz w:val="32"/>
          <w:highlight w:val="none"/>
        </w:rPr>
        <w:t>（邮件标题：公司名称+</w:t>
      </w:r>
      <w:r>
        <w:rPr>
          <w:rFonts w:hint="eastAsia" w:ascii="Times New Roman" w:hAnsi="Times New Roman" w:eastAsia="仿宋_GB2312"/>
          <w:bCs/>
          <w:color w:val="000000"/>
          <w:sz w:val="32"/>
          <w:szCs w:val="32"/>
          <w:highlight w:val="none"/>
          <w:lang w:val="en-US" w:eastAsia="zh-CN"/>
        </w:rPr>
        <w:t>进水提升泵维修服务采购项目</w:t>
      </w:r>
      <w:r>
        <w:rPr>
          <w:rFonts w:hint="eastAsia" w:ascii="Times New Roman" w:hAnsi="Times New Roman" w:eastAsia="仿宋_GB2312"/>
          <w:sz w:val="32"/>
          <w:highlight w:val="none"/>
        </w:rPr>
        <w:t>）</w:t>
      </w:r>
      <w:r>
        <w:rPr>
          <w:rFonts w:hint="eastAsia" w:eastAsia="仿宋"/>
          <w:sz w:val="32"/>
          <w:szCs w:val="32"/>
          <w:highlight w:val="none"/>
        </w:rPr>
        <w:t>；</w:t>
      </w:r>
    </w:p>
    <w:p w14:paraId="4F75DD8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（二）评审委员会对参选单位进行资格审查，如存在审核未通过的单位，则记录原因并通知未通过的单位；</w:t>
      </w:r>
    </w:p>
    <w:p w14:paraId="77C09015">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（三）评审委员会根据询价规则形成询价报告，确定候选人排名；</w:t>
      </w:r>
    </w:p>
    <w:p w14:paraId="0157A894">
      <w:pPr>
        <w:pStyle w:val="10"/>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五、选聘材料提交</w:t>
      </w:r>
    </w:p>
    <w:p w14:paraId="280050B8">
      <w:pPr>
        <w:pStyle w:val="10"/>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4</w:t>
      </w:r>
      <w:r>
        <w:rPr>
          <w:rFonts w:eastAsia="仿宋"/>
          <w:sz w:val="32"/>
          <w:szCs w:val="32"/>
          <w:highlight w:val="none"/>
        </w:rPr>
        <w:t>月</w:t>
      </w:r>
      <w:r>
        <w:rPr>
          <w:rFonts w:hint="eastAsia" w:eastAsia="仿宋"/>
          <w:sz w:val="32"/>
          <w:szCs w:val="32"/>
          <w:highlight w:val="none"/>
          <w:lang w:val="en-US" w:eastAsia="zh-CN"/>
        </w:rPr>
        <w:t>23</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highlight w:val="none"/>
        </w:rPr>
      </w:pPr>
      <w:r>
        <w:rPr>
          <w:rFonts w:hint="eastAsia" w:ascii="仿宋_GB2312" w:hAnsi="仿宋" w:eastAsia="仿宋_GB2312"/>
          <w:bCs/>
          <w:color w:val="000000"/>
          <w:sz w:val="32"/>
          <w:szCs w:val="32"/>
          <w:highlight w:val="none"/>
        </w:rPr>
        <w:t>（二）响应文件递交方式</w:t>
      </w:r>
    </w:p>
    <w:p w14:paraId="569EC9F8">
      <w:pPr>
        <w:pStyle w:val="10"/>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本次文件递交方式采用线上递交，</w:t>
      </w:r>
      <w:r>
        <w:rPr>
          <w:rFonts w:eastAsia="仿宋"/>
          <w:sz w:val="32"/>
          <w:szCs w:val="32"/>
          <w:highlight w:val="none"/>
        </w:rPr>
        <w:t>PDF</w:t>
      </w:r>
      <w:r>
        <w:rPr>
          <w:rFonts w:hint="eastAsia" w:eastAsia="仿宋"/>
          <w:sz w:val="32"/>
          <w:szCs w:val="32"/>
          <w:highlight w:val="none"/>
        </w:rPr>
        <w:t>盖章版响应</w:t>
      </w:r>
      <w:r>
        <w:rPr>
          <w:rFonts w:eastAsia="仿宋"/>
          <w:sz w:val="32"/>
          <w:szCs w:val="32"/>
          <w:highlight w:val="none"/>
        </w:rPr>
        <w:t>文件必须在递交截止时间前</w:t>
      </w:r>
      <w:r>
        <w:rPr>
          <w:rFonts w:hint="eastAsia" w:eastAsia="仿宋"/>
          <w:sz w:val="32"/>
          <w:szCs w:val="32"/>
          <w:highlight w:val="none"/>
        </w:rPr>
        <w:t>发送至采购联系人邮箱</w:t>
      </w:r>
      <w:r>
        <w:rPr>
          <w:rFonts w:eastAsia="仿宋"/>
          <w:sz w:val="32"/>
          <w:szCs w:val="32"/>
          <w:highlight w:val="none"/>
        </w:rPr>
        <w:t>。</w:t>
      </w:r>
      <w:r>
        <w:rPr>
          <w:rFonts w:hint="eastAsia" w:eastAsia="仿宋"/>
          <w:sz w:val="32"/>
          <w:szCs w:val="32"/>
          <w:highlight w:val="none"/>
        </w:rPr>
        <w:t>响应文件递交</w:t>
      </w:r>
      <w:r>
        <w:rPr>
          <w:rFonts w:eastAsia="仿宋"/>
          <w:sz w:val="32"/>
          <w:szCs w:val="32"/>
          <w:highlight w:val="none"/>
        </w:rPr>
        <w:t>截止时间前未完成</w:t>
      </w:r>
      <w:r>
        <w:rPr>
          <w:rFonts w:hint="eastAsia" w:eastAsia="仿宋"/>
          <w:sz w:val="32"/>
          <w:szCs w:val="32"/>
          <w:highlight w:val="none"/>
        </w:rPr>
        <w:t>报价</w:t>
      </w:r>
      <w:r>
        <w:rPr>
          <w:rFonts w:eastAsia="仿宋"/>
          <w:sz w:val="32"/>
          <w:szCs w:val="32"/>
          <w:highlight w:val="none"/>
        </w:rPr>
        <w:t>文件</w:t>
      </w:r>
      <w:r>
        <w:rPr>
          <w:rFonts w:hint="eastAsia" w:eastAsia="仿宋"/>
          <w:sz w:val="32"/>
          <w:szCs w:val="32"/>
          <w:highlight w:val="none"/>
        </w:rPr>
        <w:t>发送</w:t>
      </w:r>
      <w:r>
        <w:rPr>
          <w:rFonts w:eastAsia="仿宋"/>
          <w:sz w:val="32"/>
          <w:szCs w:val="32"/>
          <w:highlight w:val="none"/>
        </w:rPr>
        <w:t>的，视为</w:t>
      </w:r>
      <w:r>
        <w:rPr>
          <w:rFonts w:hint="eastAsia" w:eastAsia="仿宋"/>
          <w:sz w:val="32"/>
          <w:szCs w:val="32"/>
          <w:highlight w:val="none"/>
        </w:rPr>
        <w:t>不参选</w:t>
      </w:r>
      <w:r>
        <w:rPr>
          <w:rFonts w:eastAsia="仿宋"/>
          <w:sz w:val="32"/>
          <w:szCs w:val="32"/>
          <w:highlight w:val="none"/>
        </w:rPr>
        <w:t>。</w:t>
      </w:r>
    </w:p>
    <w:p w14:paraId="24B70530">
      <w:pPr>
        <w:pStyle w:val="8"/>
        <w:spacing w:line="640" w:lineRule="exac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六、评分规则</w:t>
      </w:r>
    </w:p>
    <w:p w14:paraId="67C120C3">
      <w:pPr>
        <w:spacing w:after="78" w:line="640" w:lineRule="exact"/>
        <w:ind w:firstLine="640" w:firstLineChars="200"/>
        <w:jc w:val="left"/>
        <w:rPr>
          <w:rFonts w:ascii="Times New Roman" w:hAnsi="Times New Roman" w:eastAsia="仿宋_GB2312"/>
          <w:color w:val="000000"/>
          <w:sz w:val="32"/>
          <w:szCs w:val="32"/>
          <w:highlight w:val="none"/>
        </w:rPr>
      </w:pPr>
      <w:r>
        <w:rPr>
          <w:rFonts w:ascii="Times New Roman" w:hAnsi="Times New Roman" w:eastAsia="仿宋_GB2312"/>
          <w:sz w:val="32"/>
          <w:highlight w:val="none"/>
        </w:rPr>
        <w:t>本次评审</w:t>
      </w:r>
      <w:r>
        <w:rPr>
          <w:rFonts w:hint="eastAsia" w:ascii="Times New Roman" w:hAnsi="Times New Roman" w:eastAsia="仿宋_GB2312"/>
          <w:sz w:val="32"/>
          <w:highlight w:val="none"/>
        </w:rPr>
        <w:t>设一轮报价，</w:t>
      </w:r>
      <w:r>
        <w:rPr>
          <w:rFonts w:ascii="Times New Roman" w:hAnsi="Times New Roman" w:eastAsia="仿宋_GB2312"/>
          <w:sz w:val="32"/>
          <w:highlight w:val="none"/>
        </w:rPr>
        <w:t>采用最低投标价法</w:t>
      </w:r>
      <w:r>
        <w:rPr>
          <w:rFonts w:hint="eastAsia" w:ascii="Times New Roman" w:hAnsi="Times New Roman" w:eastAsia="仿宋_GB2312"/>
          <w:sz w:val="32"/>
          <w:highlight w:val="none"/>
        </w:rPr>
        <w:t>。</w:t>
      </w:r>
      <w:r>
        <w:rPr>
          <w:rFonts w:hint="eastAsia" w:ascii="Times New Roman" w:hAnsi="Times New Roman" w:eastAsia="仿宋_GB2312"/>
          <w:color w:val="000000"/>
          <w:sz w:val="32"/>
          <w:szCs w:val="32"/>
          <w:highlight w:val="none"/>
        </w:rPr>
        <w:t>采购人对所有参选供应商进行资格</w:t>
      </w:r>
      <w:r>
        <w:rPr>
          <w:rFonts w:hint="eastAsia" w:ascii="Times New Roman" w:hAnsi="Times New Roman" w:eastAsia="仿宋_GB2312"/>
          <w:sz w:val="32"/>
          <w:szCs w:val="32"/>
          <w:highlight w:val="none"/>
          <w:lang w:val="en-US" w:eastAsia="zh-CN"/>
        </w:rPr>
        <w:t>性、符合性</w:t>
      </w:r>
      <w:r>
        <w:rPr>
          <w:rFonts w:hint="eastAsia" w:ascii="Times New Roman" w:hAnsi="Times New Roman" w:eastAsia="仿宋_GB2312"/>
          <w:color w:val="000000"/>
          <w:sz w:val="32"/>
          <w:szCs w:val="32"/>
          <w:highlight w:val="none"/>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七、限价要求</w:t>
      </w:r>
    </w:p>
    <w:p w14:paraId="62D7AD04">
      <w:pPr>
        <w:pStyle w:val="10"/>
        <w:tabs>
          <w:tab w:val="left" w:pos="0"/>
        </w:tabs>
        <w:snapToGrid w:val="0"/>
        <w:spacing w:after="78" w:line="640" w:lineRule="exact"/>
        <w:ind w:firstLine="640" w:firstLineChars="200"/>
        <w:rPr>
          <w:rFonts w:ascii="Times New Roman" w:hAnsi="Times New Roman" w:eastAsia="仿宋_GB2312"/>
          <w:color w:val="000000"/>
          <w:kern w:val="0"/>
          <w:sz w:val="32"/>
          <w:szCs w:val="32"/>
          <w:highlight w:val="none"/>
        </w:rPr>
      </w:pPr>
      <w:r>
        <w:rPr>
          <w:rFonts w:hint="eastAsia" w:eastAsia="仿宋"/>
          <w:sz w:val="32"/>
          <w:szCs w:val="32"/>
          <w:highlight w:val="none"/>
        </w:rPr>
        <w:t>本次</w:t>
      </w:r>
      <w:r>
        <w:rPr>
          <w:rFonts w:hint="eastAsia" w:eastAsia="仿宋"/>
          <w:sz w:val="32"/>
          <w:szCs w:val="32"/>
          <w:highlight w:val="none"/>
          <w:lang w:val="en-US" w:eastAsia="zh-CN"/>
        </w:rPr>
        <w:t>含税总</w:t>
      </w:r>
      <w:r>
        <w:rPr>
          <w:rFonts w:hint="eastAsia" w:eastAsia="仿宋"/>
          <w:sz w:val="32"/>
          <w:szCs w:val="32"/>
          <w:highlight w:val="none"/>
        </w:rPr>
        <w:t>限</w:t>
      </w:r>
      <w:r>
        <w:rPr>
          <w:rFonts w:ascii="Times New Roman" w:hAnsi="Times New Roman" w:eastAsia="仿宋"/>
          <w:sz w:val="32"/>
          <w:szCs w:val="32"/>
          <w:highlight w:val="none"/>
        </w:rPr>
        <w:t>价</w:t>
      </w:r>
      <w:r>
        <w:rPr>
          <w:rFonts w:hint="eastAsia" w:ascii="Times New Roman" w:hAnsi="Times New Roman" w:eastAsia="仿宋"/>
          <w:sz w:val="32"/>
          <w:szCs w:val="32"/>
          <w:highlight w:val="none"/>
          <w:lang w:eastAsia="zh-CN"/>
        </w:rPr>
        <w:t>为</w:t>
      </w:r>
      <w:r>
        <w:rPr>
          <w:rFonts w:hint="eastAsia" w:ascii="Times New Roman" w:hAnsi="Times New Roman" w:eastAsia="仿宋"/>
          <w:sz w:val="32"/>
          <w:szCs w:val="32"/>
          <w:highlight w:val="none"/>
          <w:lang w:val="en-US" w:eastAsia="zh-CN"/>
        </w:rPr>
        <w:t>20</w:t>
      </w:r>
      <w:r>
        <w:rPr>
          <w:rFonts w:hint="eastAsia" w:eastAsia="仿宋"/>
          <w:sz w:val="32"/>
          <w:szCs w:val="32"/>
          <w:highlight w:val="none"/>
        </w:rPr>
        <w:t>万元，</w:t>
      </w:r>
      <w:r>
        <w:rPr>
          <w:rFonts w:hint="eastAsia" w:ascii="Times New Roman" w:hAnsi="Times New Roman" w:eastAsia="仿宋_GB2312"/>
          <w:color w:val="000000"/>
          <w:sz w:val="32"/>
          <w:szCs w:val="32"/>
          <w:highlight w:val="none"/>
          <w:lang w:val="en-US" w:eastAsia="zh-CN"/>
        </w:rPr>
        <w:t>签订单价合同</w:t>
      </w:r>
      <w:r>
        <w:rPr>
          <w:rFonts w:hint="eastAsia" w:ascii="Times New Roman" w:hAnsi="Times New Roman" w:eastAsia="仿宋_GB2312"/>
          <w:color w:val="000000"/>
          <w:sz w:val="32"/>
          <w:szCs w:val="32"/>
          <w:highlight w:val="none"/>
        </w:rPr>
        <w:t>，</w:t>
      </w:r>
      <w:r>
        <w:rPr>
          <w:rFonts w:ascii="Times New Roman" w:hAnsi="Times New Roman" w:eastAsia="仿宋_GB2312"/>
          <w:sz w:val="32"/>
          <w:szCs w:val="32"/>
          <w:highlight w:val="none"/>
        </w:rPr>
        <w:t>超过限价的报价</w:t>
      </w:r>
      <w:r>
        <w:rPr>
          <w:rFonts w:hint="eastAsia" w:ascii="Times New Roman" w:hAnsi="Times New Roman" w:eastAsia="仿宋_GB2312"/>
          <w:sz w:val="32"/>
          <w:szCs w:val="32"/>
          <w:highlight w:val="none"/>
        </w:rPr>
        <w:t>视为</w:t>
      </w:r>
      <w:r>
        <w:rPr>
          <w:rFonts w:ascii="Times New Roman" w:hAnsi="Times New Roman" w:eastAsia="仿宋_GB2312"/>
          <w:sz w:val="32"/>
          <w:szCs w:val="32"/>
          <w:highlight w:val="none"/>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八、澄清及修改</w:t>
      </w:r>
    </w:p>
    <w:p w14:paraId="5C6F2D9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1、采购人如需对已发出的询价文件进行澄清或修改的，将在</w:t>
      </w:r>
      <w:bookmarkStart w:id="4" w:name="_Hlk173242607"/>
      <w:r>
        <w:rPr>
          <w:rFonts w:hint="eastAsia" w:ascii="Times New Roman" w:hAnsi="Times New Roman" w:eastAsia="仿宋_GB2312"/>
          <w:bCs/>
          <w:color w:val="000000"/>
          <w:sz w:val="32"/>
          <w:szCs w:val="32"/>
          <w:highlight w:val="none"/>
        </w:rPr>
        <w:t>深圳市深水水务咨询有限公司官网（http://www.szsszx.com/）</w:t>
      </w:r>
      <w:bookmarkEnd w:id="4"/>
      <w:r>
        <w:rPr>
          <w:rFonts w:hint="eastAsia" w:ascii="Times New Roman" w:hAnsi="Times New Roman" w:eastAsia="仿宋_GB2312"/>
          <w:color w:val="000000"/>
          <w:sz w:val="32"/>
          <w:szCs w:val="32"/>
          <w:highlight w:val="none"/>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2、询价申请人认为需要对询价文件进行澄清的，可以邮件形式向采购人提出申请（截止时间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23</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3、询价申请人应于响应文件递交截止时间之前，自行在</w:t>
      </w:r>
      <w:r>
        <w:rPr>
          <w:rFonts w:hint="eastAsia" w:ascii="Times New Roman" w:hAnsi="Times New Roman" w:eastAsia="仿宋_GB2312"/>
          <w:bCs/>
          <w:color w:val="000000"/>
          <w:sz w:val="32"/>
          <w:szCs w:val="32"/>
          <w:highlight w:val="none"/>
        </w:rPr>
        <w:t>深圳市深水水务咨询有限公司官网（http://www.szsszx.com/）</w:t>
      </w:r>
      <w:r>
        <w:rPr>
          <w:rFonts w:hint="eastAsia" w:ascii="Times New Roman" w:hAnsi="Times New Roman" w:eastAsia="仿宋_GB2312"/>
          <w:color w:val="000000"/>
          <w:sz w:val="32"/>
          <w:szCs w:val="32"/>
          <w:highlight w:val="none"/>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九、其他</w:t>
      </w:r>
    </w:p>
    <w:p w14:paraId="036C8C1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color w:val="000000"/>
          <w:sz w:val="32"/>
          <w:szCs w:val="32"/>
          <w:highlight w:val="none"/>
        </w:rPr>
        <w:t>3、</w:t>
      </w:r>
      <w:r>
        <w:rPr>
          <w:rFonts w:hint="eastAsia" w:ascii="Times New Roman" w:hAnsi="Times New Roman" w:eastAsia="仿宋_GB2312"/>
          <w:bCs/>
          <w:color w:val="000000"/>
          <w:sz w:val="32"/>
          <w:szCs w:val="32"/>
          <w:highlight w:val="none"/>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邮  箱：sszxhjcaigou</w:t>
      </w:r>
      <w:r>
        <w:rPr>
          <w:rFonts w:hint="eastAsia" w:ascii="Times New Roman" w:hAnsi="Times New Roman" w:eastAsia="仿宋_GB2312"/>
          <w:color w:val="000000"/>
          <w:kern w:val="0"/>
          <w:sz w:val="32"/>
          <w:szCs w:val="32"/>
          <w:highlight w:val="none"/>
          <w:lang w:val="en-US" w:eastAsia="zh-CN"/>
        </w:rPr>
        <w:t>c</w:t>
      </w:r>
      <w:r>
        <w:rPr>
          <w:rFonts w:hint="eastAsia" w:ascii="Times New Roman" w:hAnsi="Times New Roman" w:eastAsia="仿宋_GB2312"/>
          <w:color w:val="000000"/>
          <w:kern w:val="0"/>
          <w:sz w:val="32"/>
          <w:szCs w:val="32"/>
          <w:highlight w:val="none"/>
        </w:rPr>
        <w:t>@163.com</w:t>
      </w:r>
    </w:p>
    <w:p w14:paraId="5648E779">
      <w:pPr>
        <w:pStyle w:val="8"/>
        <w:spacing w:line="640" w:lineRule="exact"/>
        <w:ind w:left="2396" w:leftChars="836" w:hanging="640" w:hangingChars="200"/>
        <w:rPr>
          <w:rFonts w:ascii="Times New Roman" w:hAnsi="Times New Roman" w:eastAsia="仿宋_GB2312" w:cs="宋体"/>
          <w:color w:val="000000"/>
          <w:kern w:val="0"/>
          <w:sz w:val="32"/>
          <w:szCs w:val="32"/>
          <w:highlight w:val="none"/>
        </w:rPr>
      </w:pPr>
    </w:p>
    <w:p w14:paraId="17118EAC">
      <w:pPr>
        <w:pStyle w:val="8"/>
        <w:spacing w:line="640" w:lineRule="exact"/>
        <w:jc w:val="right"/>
        <w:rPr>
          <w:rFonts w:eastAsia="仿宋_GB2312"/>
          <w:highlight w:val="none"/>
        </w:rPr>
      </w:pPr>
      <w:bookmarkStart w:id="5" w:name="_Hlk173242670"/>
      <w:bookmarkStart w:id="6" w:name="_Hlk178341758"/>
      <w:r>
        <w:rPr>
          <w:rFonts w:hint="eastAsia" w:ascii="Times New Roman" w:hAnsi="Times New Roman" w:eastAsia="仿宋_GB2312"/>
          <w:bCs/>
          <w:color w:val="000000"/>
          <w:sz w:val="32"/>
          <w:szCs w:val="32"/>
          <w:highlight w:val="none"/>
        </w:rPr>
        <w:t>深圳市深水</w:t>
      </w:r>
      <w:r>
        <w:rPr>
          <w:rFonts w:hint="eastAsia" w:ascii="Times New Roman" w:hAnsi="Times New Roman" w:eastAsia="仿宋_GB2312"/>
          <w:bCs/>
          <w:color w:val="000000"/>
          <w:sz w:val="32"/>
          <w:szCs w:val="32"/>
          <w:highlight w:val="none"/>
          <w:lang w:val="en-US" w:eastAsia="zh-CN"/>
        </w:rPr>
        <w:t>横岗</w:t>
      </w:r>
      <w:r>
        <w:rPr>
          <w:rFonts w:hint="eastAsia" w:ascii="Times New Roman" w:hAnsi="Times New Roman" w:eastAsia="仿宋_GB2312"/>
          <w:bCs/>
          <w:color w:val="000000"/>
          <w:sz w:val="32"/>
          <w:szCs w:val="32"/>
          <w:highlight w:val="none"/>
        </w:rPr>
        <w:t>水务有限</w:t>
      </w:r>
      <w:r>
        <w:rPr>
          <w:rFonts w:hint="eastAsia" w:ascii="Times New Roman" w:hAnsi="Times New Roman" w:eastAsia="仿宋_GB2312"/>
          <w:color w:val="000000"/>
          <w:kern w:val="0"/>
          <w:sz w:val="32"/>
          <w:szCs w:val="32"/>
          <w:highlight w:val="none"/>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7"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20</w:t>
      </w:r>
      <w:r>
        <w:rPr>
          <w:rFonts w:ascii="Times New Roman" w:hAnsi="Times New Roman" w:eastAsia="仿宋_GB2312"/>
          <w:bCs/>
          <w:color w:val="000000"/>
          <w:sz w:val="32"/>
          <w:szCs w:val="32"/>
          <w:highlight w:val="none"/>
        </w:rPr>
        <w:t>日</w:t>
      </w:r>
      <w:bookmarkEnd w:id="7"/>
      <w:r>
        <w:rPr>
          <w:rFonts w:hint="eastAsia" w:ascii="Times New Roman" w:hAnsi="Times New Roman" w:eastAsia="仿宋_GB2312"/>
          <w:bCs/>
          <w:color w:val="000000"/>
          <w:sz w:val="32"/>
          <w:szCs w:val="32"/>
          <w:highlight w:val="none"/>
        </w:rPr>
        <w:t xml:space="preserve">   </w:t>
      </w:r>
    </w:p>
    <w:p w14:paraId="4E5B325B">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749E2C81">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深圳市深水水务咨询有限公司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进水提升泵维修服务采购项目</w:t>
      </w:r>
      <w:r>
        <w:rPr>
          <w:rFonts w:hint="default" w:ascii="Times New Roman Regular" w:hAnsi="Times New Roman Regular" w:eastAsia="黑体" w:cs="Times New Roman Regular"/>
          <w:color w:val="000000"/>
          <w:kern w:val="0"/>
          <w:sz w:val="72"/>
          <w:szCs w:val="72"/>
          <w:highlight w:val="none"/>
          <w:shd w:val="clear" w:color="auto" w:fill="FFFFFF"/>
          <w:lang w:val="en-US" w:eastAsia="zh-CN"/>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1"/>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进水提升泵维修服务采购项目           </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footerReference r:id="rId5" w:type="default"/>
          <w:pgSz w:w="11895" w:h="16845"/>
          <w:cols w:space="720" w:num="1"/>
        </w:sectPr>
      </w:pP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eastAsia" w:ascii="Times New Roman Regular" w:hAnsi="Times New Roman Regular" w:cs="Times New Roman Regular"/>
          <w:b/>
          <w:color w:val="000000"/>
          <w:sz w:val="36"/>
          <w:szCs w:val="24"/>
          <w:highlight w:val="none"/>
          <w:lang w:val="en-US" w:eastAsia="zh-CN"/>
        </w:rPr>
        <w:t>进水提升泵维修服务采购项目</w:t>
      </w:r>
      <w:r>
        <w:rPr>
          <w:rFonts w:hint="default" w:ascii="Times New Roman Regular" w:hAnsi="Times New Roman Regular" w:eastAsia="宋体" w:cs="Times New Roman Regular"/>
          <w:b/>
          <w:color w:val="000000"/>
          <w:sz w:val="36"/>
          <w:szCs w:val="24"/>
          <w:highlight w:val="none"/>
          <w:lang w:val="en-US"/>
        </w:rPr>
        <w:t>服务</w:t>
      </w: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一、维</w:t>
      </w:r>
      <w:r>
        <w:rPr>
          <w:rFonts w:hint="eastAsia" w:ascii="Times New Roman Regular" w:hAnsi="Times New Roman Regular" w:eastAsia="宋体" w:cs="Times New Roman Regular"/>
          <w:b/>
          <w:bCs/>
          <w:color w:val="000000"/>
          <w:kern w:val="2"/>
          <w:sz w:val="32"/>
          <w:szCs w:val="24"/>
          <w:highlight w:val="none"/>
          <w:lang w:val="en-US" w:eastAsia="zh-CN" w:bidi="ar-SA"/>
        </w:rPr>
        <w:t>修</w:t>
      </w:r>
      <w:r>
        <w:rPr>
          <w:rFonts w:hint="default" w:ascii="Times New Roman Regular" w:hAnsi="Times New Roman Regular" w:eastAsia="宋体" w:cs="Times New Roman Regular"/>
          <w:b/>
          <w:bCs/>
          <w:color w:val="000000"/>
          <w:kern w:val="2"/>
          <w:sz w:val="32"/>
          <w:szCs w:val="24"/>
          <w:highlight w:val="none"/>
          <w:lang w:val="en-US" w:eastAsia="zh-CN" w:bidi="ar-SA"/>
        </w:rPr>
        <w:t>服务内容</w:t>
      </w:r>
    </w:p>
    <w:p w14:paraId="52900F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w:t>
      </w:r>
      <w:r>
        <w:rPr>
          <w:rFonts w:hint="eastAsia" w:ascii="Times New Roman Regular" w:hAnsi="Times New Roman Regular" w:cs="Times New Roman Regular"/>
          <w:kern w:val="2"/>
          <w:sz w:val="24"/>
          <w:szCs w:val="24"/>
          <w:highlight w:val="none"/>
          <w:lang w:val="en-US" w:eastAsia="zh-CN" w:bidi="ar-SA"/>
        </w:rPr>
        <w:t>进水提升泵维修服务采购项目</w:t>
      </w:r>
      <w:r>
        <w:rPr>
          <w:rFonts w:hint="default" w:ascii="Times New Roman Regular" w:hAnsi="Times New Roman Regular" w:eastAsia="宋体" w:cs="Times New Roman Regular"/>
          <w:kern w:val="2"/>
          <w:sz w:val="24"/>
          <w:szCs w:val="24"/>
          <w:highlight w:val="none"/>
          <w:lang w:val="en-US" w:eastAsia="zh-CN" w:bidi="ar-SA"/>
        </w:rPr>
        <w:t>】</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  </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505"/>
        <w:gridCol w:w="1539"/>
        <w:gridCol w:w="1343"/>
        <w:gridCol w:w="1931"/>
        <w:gridCol w:w="1509"/>
      </w:tblGrid>
      <w:tr w14:paraId="4C6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BE21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序号</w:t>
            </w:r>
          </w:p>
        </w:tc>
        <w:tc>
          <w:tcPr>
            <w:tcW w:w="883" w:type="pct"/>
            <w:vAlign w:val="center"/>
          </w:tcPr>
          <w:p w14:paraId="0CC75C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名称</w:t>
            </w:r>
          </w:p>
        </w:tc>
        <w:tc>
          <w:tcPr>
            <w:tcW w:w="903" w:type="pct"/>
            <w:vAlign w:val="center"/>
          </w:tcPr>
          <w:p w14:paraId="31A19A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规格型号</w:t>
            </w:r>
          </w:p>
        </w:tc>
        <w:tc>
          <w:tcPr>
            <w:tcW w:w="788" w:type="pct"/>
            <w:vAlign w:val="center"/>
          </w:tcPr>
          <w:p w14:paraId="2C0E5A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含税单价</w:t>
            </w:r>
          </w:p>
        </w:tc>
        <w:tc>
          <w:tcPr>
            <w:tcW w:w="1133" w:type="pct"/>
            <w:vAlign w:val="center"/>
          </w:tcPr>
          <w:p w14:paraId="4FA969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维修</w:t>
            </w:r>
            <w:r>
              <w:rPr>
                <w:rFonts w:hint="default" w:ascii="Times New Roman Regular" w:hAnsi="Times New Roman Regular" w:eastAsia="宋体" w:cs="Times New Roman Regular"/>
                <w:color w:val="000000"/>
                <w:sz w:val="21"/>
                <w:szCs w:val="21"/>
                <w:highlight w:val="none"/>
                <w:vertAlign w:val="baseline"/>
                <w:lang w:val="en-US" w:eastAsia="zh-CN"/>
              </w:rPr>
              <w:t>内容</w:t>
            </w:r>
          </w:p>
        </w:tc>
        <w:tc>
          <w:tcPr>
            <w:tcW w:w="885" w:type="pct"/>
            <w:vAlign w:val="center"/>
          </w:tcPr>
          <w:p w14:paraId="473EB7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备注</w:t>
            </w:r>
          </w:p>
        </w:tc>
      </w:tr>
      <w:tr w14:paraId="3CD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6A3C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1</w:t>
            </w:r>
          </w:p>
        </w:tc>
        <w:tc>
          <w:tcPr>
            <w:tcW w:w="883" w:type="pct"/>
            <w:vAlign w:val="center"/>
          </w:tcPr>
          <w:p w14:paraId="181076E3">
            <w:pPr>
              <w:keepNext w:val="0"/>
              <w:keepLines w:val="0"/>
              <w:widowControl/>
              <w:suppressLineNumbers w:val="0"/>
              <w:jc w:val="center"/>
              <w:rPr>
                <w:rFonts w:hint="default" w:ascii="Times New Roman Regular" w:hAnsi="Times New Roman Regular" w:eastAsia="宋体" w:cs="Times New Roman Regular"/>
                <w:color w:val="000000"/>
                <w:sz w:val="24"/>
                <w:szCs w:val="20"/>
                <w:highlight w:val="none"/>
                <w:vertAlign w:val="baseline"/>
              </w:rPr>
            </w:pPr>
            <w:r>
              <w:rPr>
                <w:rFonts w:hint="eastAsia" w:ascii="宋体" w:hAnsi="宋体" w:cs="宋体"/>
                <w:bCs/>
                <w:color w:val="000000"/>
                <w:sz w:val="24"/>
                <w:szCs w:val="24"/>
                <w:highlight w:val="none"/>
                <w:lang w:val="en-US" w:eastAsia="zh-CN"/>
              </w:rPr>
              <w:t>进水提升泵维修服务</w:t>
            </w:r>
          </w:p>
        </w:tc>
        <w:tc>
          <w:tcPr>
            <w:tcW w:w="903" w:type="pct"/>
            <w:vAlign w:val="center"/>
          </w:tcPr>
          <w:p w14:paraId="6B61F048">
            <w:pPr>
              <w:keepNext w:val="0"/>
              <w:keepLines w:val="0"/>
              <w:widowControl/>
              <w:suppressLineNumbers w:val="0"/>
              <w:jc w:val="center"/>
              <w:rPr>
                <w:rFonts w:hint="eastAsia" w:ascii="Times New Roman Regular" w:hAnsi="Times New Roman Regular" w:eastAsia="宋体" w:cs="Times New Roman Regular"/>
                <w:color w:val="000000"/>
                <w:sz w:val="24"/>
                <w:szCs w:val="20"/>
                <w:highlight w:val="none"/>
                <w:vertAlign w:val="baseline"/>
                <w:lang w:val="en-US" w:eastAsia="zh-CN"/>
              </w:rPr>
            </w:pPr>
          </w:p>
        </w:tc>
        <w:tc>
          <w:tcPr>
            <w:tcW w:w="788" w:type="pct"/>
            <w:vAlign w:val="center"/>
          </w:tcPr>
          <w:p w14:paraId="1C05E23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 xml:space="preserve">   元/台</w:t>
            </w:r>
          </w:p>
        </w:tc>
        <w:tc>
          <w:tcPr>
            <w:tcW w:w="1133" w:type="pct"/>
            <w:shd w:val="clear" w:color="auto" w:fill="auto"/>
            <w:vAlign w:val="center"/>
          </w:tcPr>
          <w:p w14:paraId="20CDE6AD">
            <w:pPr>
              <w:widowControl/>
              <w:numPr>
                <w:ilvl w:val="0"/>
                <w:numId w:val="0"/>
              </w:numPr>
              <w:spacing w:after="0" w:line="500" w:lineRule="exact"/>
              <w:ind w:firstLineChars="0"/>
              <w:jc w:val="center"/>
              <w:rPr>
                <w:rFonts w:hint="default" w:ascii="Times New Roman Regular" w:hAnsi="Times New Roman Regular" w:eastAsia="宋体" w:cs="Times New Roman Regular"/>
                <w:color w:val="000000"/>
                <w:kern w:val="2"/>
                <w:sz w:val="24"/>
                <w:szCs w:val="20"/>
                <w:highlight w:val="none"/>
                <w:lang w:val="en-US" w:eastAsia="zh-CN" w:bidi="ar-SA"/>
              </w:rPr>
            </w:pPr>
            <w:r>
              <w:rPr>
                <w:rFonts w:hint="eastAsia" w:ascii="仿宋" w:hAnsi="仿宋" w:eastAsia="仿宋" w:cs="仿宋"/>
                <w:sz w:val="22"/>
                <w:szCs w:val="22"/>
                <w:highlight w:val="none"/>
                <w:lang w:val="en-US" w:eastAsia="zh-CN"/>
              </w:rPr>
              <w:t>服务包含：电机、电缆维修保养；轴承、机封更换；泵体、导流筒、叶轮（双相不锈钢）、蜗壳陶瓷防磨修复；水泵拆卸、组装调试等整体各部位大修服务；来回运输服务</w:t>
            </w:r>
          </w:p>
        </w:tc>
        <w:tc>
          <w:tcPr>
            <w:tcW w:w="885" w:type="pct"/>
            <w:vAlign w:val="center"/>
          </w:tcPr>
          <w:p w14:paraId="3545B7C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4"/>
                <w:szCs w:val="20"/>
                <w:highlight w:val="none"/>
                <w:vertAlign w:val="baseline"/>
              </w:rPr>
            </w:pPr>
            <w:r>
              <w:rPr>
                <w:rFonts w:hint="default" w:ascii="Times New Roman Regular" w:hAnsi="Times New Roman Regular" w:eastAsia="宋体" w:cs="Times New Roman Regular"/>
                <w:color w:val="000000"/>
                <w:sz w:val="24"/>
                <w:szCs w:val="20"/>
                <w:highlight w:val="none"/>
                <w:vertAlign w:val="baseline"/>
                <w:lang w:val="en-US" w:eastAsia="zh-CN"/>
              </w:rPr>
              <w:t>每批次</w:t>
            </w:r>
            <w:r>
              <w:rPr>
                <w:rFonts w:hint="eastAsia" w:ascii="Times New Roman Regular" w:hAnsi="Times New Roman Regular" w:cs="Times New Roman Regular"/>
                <w:color w:val="000000"/>
                <w:sz w:val="24"/>
                <w:szCs w:val="20"/>
                <w:highlight w:val="none"/>
                <w:vertAlign w:val="baseline"/>
                <w:lang w:val="en-US" w:eastAsia="zh-CN"/>
              </w:rPr>
              <w:t>水泵</w:t>
            </w:r>
            <w:r>
              <w:rPr>
                <w:rFonts w:hint="default" w:ascii="Times New Roman Regular" w:hAnsi="Times New Roman Regular" w:eastAsia="宋体" w:cs="Times New Roman Regular"/>
                <w:color w:val="000000"/>
                <w:sz w:val="24"/>
                <w:szCs w:val="20"/>
                <w:highlight w:val="none"/>
                <w:vertAlign w:val="baseline"/>
                <w:lang w:val="en-US" w:eastAsia="zh-CN"/>
              </w:rPr>
              <w:t>修复服务应当在收到</w:t>
            </w:r>
            <w:r>
              <w:rPr>
                <w:rFonts w:hint="eastAsia" w:ascii="Times New Roman Regular" w:hAnsi="Times New Roman Regular" w:eastAsia="宋体" w:cs="Times New Roman Regular"/>
                <w:color w:val="000000"/>
                <w:sz w:val="24"/>
                <w:szCs w:val="20"/>
                <w:highlight w:val="none"/>
                <w:vertAlign w:val="baseline"/>
                <w:lang w:val="en-US" w:eastAsia="zh-CN"/>
              </w:rPr>
              <w:t>甲方</w:t>
            </w:r>
            <w:r>
              <w:rPr>
                <w:rFonts w:hint="default" w:ascii="Times New Roman Regular" w:hAnsi="Times New Roman Regular" w:eastAsia="宋体" w:cs="Times New Roman Regular"/>
                <w:color w:val="000000"/>
                <w:sz w:val="24"/>
                <w:szCs w:val="20"/>
                <w:highlight w:val="none"/>
                <w:vertAlign w:val="baseline"/>
                <w:lang w:val="en-US" w:eastAsia="zh-CN"/>
              </w:rPr>
              <w:t>需求订单后10个日历日内完成</w:t>
            </w:r>
          </w:p>
        </w:tc>
      </w:tr>
    </w:tbl>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71D9164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w:t>
      </w:r>
      <w:r>
        <w:rPr>
          <w:rFonts w:hint="eastAsia" w:ascii="宋体" w:hAnsi="宋体" w:eastAsia="宋体" w:cs="宋体"/>
          <w:kern w:val="0"/>
          <w:sz w:val="24"/>
          <w:szCs w:val="24"/>
          <w:highlight w:val="none"/>
          <w:u w:val="none"/>
          <w:lang w:val="en-US" w:eastAsia="zh-CN"/>
        </w:rPr>
        <w:t>【  】</w:t>
      </w:r>
      <w:r>
        <w:rPr>
          <w:rFonts w:hint="eastAsia" w:ascii="宋体" w:hAnsi="宋体" w:eastAsia="宋体" w:cs="宋体"/>
          <w:kern w:val="2"/>
          <w:sz w:val="24"/>
          <w:szCs w:val="24"/>
          <w:highlight w:val="none"/>
          <w:lang w:val="en-US" w:eastAsia="zh-CN" w:bidi="ar-SA"/>
        </w:rPr>
        <w:t>年。自【    】年【  】月【  】日起（含当日）至【    】年【  】月【  】日（含当日）止。</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2BC1993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设备进行维修，服务内容主要包括：电机、电缆维修保养；轴承、机封更换；泵体、导流筒、叶轮（双相不锈钢）、蜗壳陶瓷防磨修复；水泵拆卸、组装调试等整体各部位大修服务；来回运输服务</w:t>
      </w:r>
      <w:r>
        <w:rPr>
          <w:rFonts w:hint="eastAsia" w:ascii="Times New Roman Regular" w:hAnsi="Times New Roman Regular" w:cs="Times New Roman Regular"/>
          <w:kern w:val="2"/>
          <w:sz w:val="24"/>
          <w:szCs w:val="24"/>
          <w:highlight w:val="none"/>
          <w:lang w:val="en-US" w:eastAsia="zh-CN" w:bidi="ar-SA"/>
        </w:rPr>
        <w:t>。</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color w:val="000000"/>
          <w:sz w:val="24"/>
          <w:highlight w:val="none"/>
        </w:rPr>
        <w:t>。</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eastAsia="宋体" w:cs="Times New Roman Regular"/>
          <w:color w:val="000000"/>
          <w:kern w:val="0"/>
          <w:sz w:val="24"/>
          <w:szCs w:val="24"/>
          <w:highlight w:val="none"/>
          <w:lang w:val="en-US" w:eastAsia="zh-CN"/>
        </w:rPr>
        <w:t>维修服务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default" w:ascii="Times New Roman Regular" w:hAnsi="Times New Roman Regular" w:eastAsia="宋体" w:cs="Times New Roman Regular"/>
          <w:kern w:val="2"/>
          <w:sz w:val="24"/>
          <w:szCs w:val="24"/>
          <w:highlight w:val="none"/>
          <w:lang w:val="en-US" w:eastAsia="zh-CN" w:bidi="ar-SA"/>
        </w:rPr>
        <w:t>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w:t>
      </w:r>
      <w:r>
        <w:rPr>
          <w:rFonts w:hint="eastAsia" w:ascii="Times New Roman Regular" w:hAnsi="Times New Roman Regular" w:eastAsia="宋体" w:cs="Times New Roman Regular"/>
          <w:color w:val="000000"/>
          <w:sz w:val="24"/>
          <w:highlight w:val="none"/>
          <w:lang w:val="en-US" w:eastAsia="zh-CN"/>
        </w:rPr>
        <w:t>维修</w:t>
      </w:r>
      <w:r>
        <w:rPr>
          <w:rFonts w:hint="default" w:ascii="Times New Roman Regular" w:hAnsi="Times New Roman Regular" w:eastAsia="宋体" w:cs="Times New Roman Regular"/>
          <w:color w:val="000000"/>
          <w:sz w:val="24"/>
          <w:highlight w:val="none"/>
          <w:lang w:val="en-US" w:eastAsia="zh-CN"/>
        </w:rPr>
        <w:t>人工费、材料费、设备费、运输费、安装费、调试费、保险费、检测费、税费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2B27C516">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eastAsia"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eastAsia="zh-CN"/>
        </w:rPr>
        <w:t>签订单价合同，每批次水泵完成维修安装调试并验收合格后支付该批次服务对应金额的95%，质保期一年满后支付该批次服务金额的5%作为质保金。</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default" w:ascii="Times New Roman Regular" w:hAnsi="Times New Roman Regular" w:eastAsia="宋体"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bookmarkStart w:id="11" w:name="_GoBack"/>
      <w:bookmarkEnd w:id="11"/>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eastAsia="宋体" w:cs="Times New Roman Regular"/>
          <w:color w:val="000000"/>
          <w:kern w:val="0"/>
          <w:sz w:val="24"/>
          <w:szCs w:val="20"/>
          <w:highlight w:val="none"/>
          <w:lang w:val="en-US" w:eastAsia="zh-CN"/>
        </w:rPr>
        <w:t>5</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5D42F4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六、其他费用</w:t>
      </w:r>
    </w:p>
    <w:p w14:paraId="07A2FF8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6.1物件更换及维修费用</w:t>
      </w:r>
    </w:p>
    <w:p w14:paraId="4C0AA90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6.1.1乙方要求更换不包含在服务费用内的物件必须征得甲方的同意。</w:t>
      </w:r>
    </w:p>
    <w:p w14:paraId="194C7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6.1.2对于待更换物件，甲方可委托乙方采购。如甲方委托乙方采购或委托乙方提供，甲方应向乙方报销采购费用。</w:t>
      </w:r>
    </w:p>
    <w:p w14:paraId="3383E86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6.1.3除非另有约定，乙方提供物件更换服务已经包含在</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服务内容之中，乙方不再额外收取费用。</w:t>
      </w:r>
    </w:p>
    <w:p w14:paraId="6F46F1E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6.1.4对超出服务范围的维修，甲方选择乙方维修的，应额外支付维修费用；甲方选择其他单位维修的，乙方应当配合维修单位的维修工作。</w:t>
      </w:r>
    </w:p>
    <w:p w14:paraId="44B40E1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6.1.5</w:t>
      </w:r>
      <w:r>
        <w:rPr>
          <w:rFonts w:hint="default" w:ascii="Times New Roman Regular" w:hAnsi="Times New Roman Regular" w:eastAsia="宋体" w:cs="Times New Roman Regular"/>
          <w:kern w:val="0"/>
          <w:sz w:val="24"/>
          <w:szCs w:val="20"/>
          <w:highlight w:val="none"/>
          <w:lang w:eastAsia="zh-Hans"/>
        </w:rPr>
        <w:t>___________________</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________________</w:t>
      </w:r>
      <w:r>
        <w:rPr>
          <w:rFonts w:hint="default" w:ascii="Times New Roman Regular" w:hAnsi="Times New Roman Regular" w:eastAsia="宋体" w:cs="Times New Roman Regular"/>
          <w:kern w:val="0"/>
          <w:sz w:val="24"/>
          <w:szCs w:val="20"/>
          <w:highlight w:val="none"/>
          <w:lang w:eastAsia="zh-CN"/>
        </w:rPr>
        <w:t>。</w:t>
      </w:r>
    </w:p>
    <w:p w14:paraId="115223B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6.2其他费用承担</w:t>
      </w:r>
    </w:p>
    <w:p w14:paraId="44D5E2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6.2.1项目本身所需水电、燃料费用（包括</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 xml:space="preserve">过程中产生的费用），由【 </w:t>
      </w:r>
      <w:r>
        <w:rPr>
          <w:rFonts w:hint="eastAsia"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CN" w:bidi="ar-SA"/>
        </w:rPr>
        <w:t>】方自行承担。</w:t>
      </w:r>
    </w:p>
    <w:p w14:paraId="76AD73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6.2.1乙方人员在现场</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时，所需水电、燃料费用，由【  】方承担。</w:t>
      </w:r>
    </w:p>
    <w:p w14:paraId="2A35B1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6.2.3乙方人员提供</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所使用的工具、原料等，由乙方自行承担费用与成本。</w:t>
      </w:r>
    </w:p>
    <w:p w14:paraId="559B04E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b w:val="0"/>
          <w:bCs w:val="0"/>
          <w:kern w:val="2"/>
          <w:sz w:val="24"/>
          <w:szCs w:val="24"/>
          <w:highlight w:val="none"/>
          <w:lang w:val="en-US" w:eastAsia="zh-CN" w:bidi="ar-SA"/>
        </w:rPr>
        <w:t>6.3</w:t>
      </w:r>
      <w:r>
        <w:rPr>
          <w:rFonts w:hint="default" w:ascii="Times New Roman Regular" w:hAnsi="Times New Roman Regular" w:eastAsia="宋体" w:cs="Times New Roman Regular"/>
          <w:kern w:val="2"/>
          <w:sz w:val="24"/>
          <w:szCs w:val="24"/>
          <w:highlight w:val="none"/>
          <w:lang w:val="en-US" w:eastAsia="zh-CN" w:bidi="ar-SA"/>
        </w:rPr>
        <w:t>如产生甲方需向乙方支付的其他费用的，</w:t>
      </w:r>
      <w:r>
        <w:rPr>
          <w:rFonts w:hint="eastAsia" w:ascii="Times New Roman Regular" w:hAnsi="Times New Roman Regular" w:eastAsia="宋体" w:cs="Times New Roman Regular"/>
          <w:kern w:val="2"/>
          <w:sz w:val="24"/>
          <w:szCs w:val="24"/>
          <w:highlight w:val="none"/>
          <w:lang w:val="en-US" w:eastAsia="zh-CN" w:bidi="ar-SA"/>
        </w:rPr>
        <w:t>乙方应当向甲方提供第5.3条项下的付款申请材料，</w:t>
      </w:r>
      <w:r>
        <w:rPr>
          <w:rFonts w:hint="default" w:ascii="Times New Roman Regular" w:hAnsi="Times New Roman Regular" w:eastAsia="宋体" w:cs="Times New Roman Regular"/>
          <w:kern w:val="0"/>
          <w:sz w:val="24"/>
          <w:highlight w:val="none"/>
          <w:lang w:eastAsia="zh-Hans"/>
        </w:rPr>
        <w:t>甲方审核通过后支付相应的款项</w:t>
      </w:r>
      <w:r>
        <w:rPr>
          <w:rFonts w:hint="default" w:ascii="Times New Roman Regular" w:hAnsi="Times New Roman Regular" w:eastAsia="宋体" w:cs="Times New Roman Regular"/>
          <w:kern w:val="2"/>
          <w:sz w:val="24"/>
          <w:szCs w:val="24"/>
          <w:highlight w:val="none"/>
          <w:lang w:val="en-US" w:eastAsia="zh-CN" w:bidi="ar-SA"/>
        </w:rPr>
        <w:t>。</w:t>
      </w:r>
    </w:p>
    <w:p w14:paraId="6D9AA67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6.4除本合同约定甲方应支付的服务费用、其他费用以外，甲方无需向乙方支付其他费用。</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七、验收标准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none"/>
          <w:u w:val="none"/>
          <w:lang w:val="en-US" w:eastAsia="zh-CN"/>
        </w:rPr>
      </w:pPr>
      <w:r>
        <w:rPr>
          <w:rFonts w:hint="default" w:ascii="Times New Roman Regular" w:hAnsi="Times New Roman Regular" w:eastAsia="宋体" w:cs="Times New Roman Regular"/>
          <w:b w:val="0"/>
          <w:bCs w:val="0"/>
          <w:color w:val="000000"/>
          <w:sz w:val="24"/>
          <w:szCs w:val="24"/>
          <w:highlight w:val="none"/>
          <w:u w:val="none"/>
          <w:lang w:val="en-US" w:eastAsia="zh-CN"/>
        </w:rPr>
        <w:t>维修后</w:t>
      </w:r>
      <w:r>
        <w:rPr>
          <w:rFonts w:hint="eastAsia" w:ascii="Times New Roman Regular" w:hAnsi="Times New Roman Regular" w:cs="Times New Roman Regular"/>
          <w:b w:val="0"/>
          <w:bCs w:val="0"/>
          <w:color w:val="000000"/>
          <w:sz w:val="24"/>
          <w:szCs w:val="24"/>
          <w:highlight w:val="none"/>
          <w:u w:val="none"/>
          <w:lang w:val="en-US" w:eastAsia="zh-CN"/>
        </w:rPr>
        <w:t>提升泵</w:t>
      </w:r>
      <w:r>
        <w:rPr>
          <w:rFonts w:hint="default" w:ascii="Times New Roman Regular" w:hAnsi="Times New Roman Regular" w:eastAsia="宋体" w:cs="Times New Roman Regular"/>
          <w:b w:val="0"/>
          <w:bCs w:val="0"/>
          <w:color w:val="000000"/>
          <w:sz w:val="24"/>
          <w:szCs w:val="24"/>
          <w:highlight w:val="none"/>
          <w:u w:val="none"/>
          <w:lang w:val="en-US" w:eastAsia="zh-CN"/>
        </w:rPr>
        <w:t>各项性能指标</w:t>
      </w:r>
      <w:r>
        <w:rPr>
          <w:rFonts w:hint="eastAsia" w:ascii="Times New Roman Regular" w:hAnsi="Times New Roman Regular" w:eastAsia="宋体" w:cs="Times New Roman Regular"/>
          <w:b w:val="0"/>
          <w:bCs w:val="0"/>
          <w:color w:val="000000"/>
          <w:sz w:val="24"/>
          <w:szCs w:val="24"/>
          <w:highlight w:val="none"/>
          <w:u w:val="none"/>
          <w:lang w:val="en-US" w:eastAsia="zh-CN"/>
        </w:rPr>
        <w:t>恢复正常</w:t>
      </w:r>
      <w:r>
        <w:rPr>
          <w:rFonts w:hint="default" w:ascii="Times New Roman Regular" w:hAnsi="Times New Roman Regular" w:eastAsia="宋体" w:cs="Times New Roman Regular"/>
          <w:b w:val="0"/>
          <w:bCs w:val="0"/>
          <w:color w:val="000000"/>
          <w:sz w:val="24"/>
          <w:szCs w:val="24"/>
          <w:highlight w:val="none"/>
          <w:u w:val="none"/>
          <w:lang w:val="en-US" w:eastAsia="zh-CN"/>
        </w:rPr>
        <w:t>，运行稳定、</w:t>
      </w:r>
      <w:r>
        <w:rPr>
          <w:rFonts w:hint="eastAsia" w:ascii="Times New Roman Regular" w:hAnsi="Times New Roman Regular" w:cs="Times New Roman Regular"/>
          <w:b w:val="0"/>
          <w:bCs w:val="0"/>
          <w:color w:val="000000"/>
          <w:sz w:val="24"/>
          <w:szCs w:val="24"/>
          <w:highlight w:val="none"/>
          <w:u w:val="none"/>
          <w:lang w:val="en-US" w:eastAsia="zh-CN"/>
        </w:rPr>
        <w:t>流量恢复到设计流量，</w:t>
      </w:r>
      <w:r>
        <w:rPr>
          <w:rFonts w:hint="default" w:ascii="Times New Roman Regular" w:hAnsi="Times New Roman Regular" w:eastAsia="宋体" w:cs="Times New Roman Regular"/>
          <w:b w:val="0"/>
          <w:bCs w:val="0"/>
          <w:color w:val="000000"/>
          <w:sz w:val="24"/>
          <w:szCs w:val="24"/>
          <w:highlight w:val="none"/>
          <w:u w:val="none"/>
          <w:lang w:val="en-US" w:eastAsia="zh-CN"/>
        </w:rPr>
        <w:t>无异常噪音、振动及发热现象，满足正常生产使用条件。</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八、双方其他权利义务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8.1.1甲方应根据合同条款及时支付乙方相应的维护服务费用。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8.1.2甲方应为乙方</w:t>
      </w:r>
      <w:r>
        <w:rPr>
          <w:rFonts w:hint="eastAsia" w:ascii="Times New Roman Regular" w:hAnsi="Times New Roman Regular" w:eastAsia="宋体" w:cs="Times New Roman Regular"/>
          <w:kern w:val="2"/>
          <w:sz w:val="24"/>
          <w:szCs w:val="24"/>
          <w:highlight w:val="none"/>
          <w:lang w:val="en-US" w:eastAsia="zh-CN" w:bidi="ar-SA"/>
        </w:rPr>
        <w:t>电机维修服务采购项目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8.2.1乙方应向甲方提供维护记录和指定项目相关维修资料。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九、违约责任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9.4若乙方因维修服务的延误或不当维修导致甲方设备损坏或造成甲方其他损失，乙方应负责赔偿。赔偿金额应包括但不限于直接损失、间接损失、利润损失以及由此产生的所有费用。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十、其他事项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10.5因履行本合同产生的争议由双方协商解决，协商不成的，任何一方均可向甲方所在地有管辖权的人民法院提起诉讼。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42A5853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cs="Times New Roman Regular"/>
          <w:color w:val="000000"/>
          <w:sz w:val="24"/>
          <w:highlight w:val="none"/>
          <w:lang w:val="en-US" w:eastAsia="zh-CN"/>
        </w:rPr>
        <w:t>进水提升泵维修服务采购项目</w:t>
      </w:r>
      <w:r>
        <w:rPr>
          <w:rFonts w:hint="default" w:ascii="Times New Roman Regular" w:hAnsi="Times New Roman Regular" w:eastAsia="宋体" w:cs="Times New Roman Regular"/>
          <w:color w:val="000000"/>
          <w:sz w:val="24"/>
          <w:highlight w:val="none"/>
          <w:lang w:eastAsia="zh-CN"/>
        </w:rPr>
        <w:t>合同》</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CN"/>
        </w:rPr>
        <w:t>进水提升泵维修服务采购项目</w:t>
      </w:r>
      <w:r>
        <w:rPr>
          <w:rFonts w:hint="eastAsia" w:ascii="宋体" w:hAnsi="宋体" w:cs="宋体"/>
          <w:kern w:val="0"/>
          <w:sz w:val="24"/>
          <w:highlight w:val="none"/>
          <w:lang w:val="en-US" w:eastAsia="zh-Hans"/>
        </w:rPr>
        <w:t>合同</w:t>
      </w:r>
      <w:r>
        <w:rPr>
          <w:rFonts w:hint="eastAsia" w:ascii="宋体" w:hAnsi="宋体" w:cs="宋体"/>
          <w:kern w:val="0"/>
          <w:sz w:val="24"/>
          <w:highlight w:val="none"/>
          <w:lang w:eastAsia="zh-Hans"/>
        </w:rPr>
        <w:t>》（以下称主合同）的同时，签订本协议，并自觉遵守。</w:t>
      </w:r>
    </w:p>
    <w:p w14:paraId="3691414C">
      <w:pPr>
        <w:pStyle w:val="67"/>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7"/>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7"/>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7"/>
        <w:ind w:firstLine="562"/>
        <w:rPr>
          <w:b/>
          <w:bCs/>
          <w:sz w:val="28"/>
          <w:szCs w:val="28"/>
          <w:highlight w:val="none"/>
          <w:lang w:eastAsia="zh-Hans"/>
        </w:rPr>
      </w:pPr>
      <w:r>
        <w:rPr>
          <w:b/>
          <w:bCs/>
          <w:sz w:val="28"/>
          <w:szCs w:val="28"/>
          <w:highlight w:val="none"/>
          <w:lang w:eastAsia="zh-Hans"/>
        </w:rPr>
        <w:t>四、违约责任</w:t>
      </w:r>
    </w:p>
    <w:p w14:paraId="15F47D5D">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rPr>
        <w:t>4.1</w:t>
      </w:r>
      <w:r>
        <w:rPr>
          <w:rFonts w:hint="eastAsia" w:ascii="宋体" w:hAnsi="宋体" w:cs="宋体"/>
          <w:kern w:val="0"/>
          <w:sz w:val="24"/>
          <w:highlight w:val="none"/>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highlight w:val="none"/>
        </w:rPr>
        <w:t>。</w:t>
      </w:r>
    </w:p>
    <w:p w14:paraId="5F7A151A">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4.2</w:t>
      </w:r>
      <w:r>
        <w:rPr>
          <w:rFonts w:hint="eastAsia" w:ascii="宋体" w:hAnsi="宋体" w:cs="宋体"/>
          <w:kern w:val="0"/>
          <w:sz w:val="24"/>
          <w:highlight w:val="none"/>
          <w:lang w:eastAsia="zh-Hans"/>
        </w:rPr>
        <w:t>因乙方违约而发生的违约金和赔偿金，甲方可在应付乙方的相关款中予以扣减。</w:t>
      </w:r>
    </w:p>
    <w:p w14:paraId="698868C0">
      <w:pPr>
        <w:pStyle w:val="67"/>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7"/>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1"/>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w:t>
      </w:r>
      <w:r>
        <w:rPr>
          <w:rFonts w:hint="eastAsia" w:ascii="Times New Roman Regular" w:hAnsi="Times New Roman Regular" w:cs="Times New Roman Regular"/>
          <w:kern w:val="0"/>
          <w:sz w:val="24"/>
          <w:szCs w:val="20"/>
          <w:highlight w:val="none"/>
          <w:lang w:val="en-US" w:eastAsia="zh-CN"/>
        </w:rPr>
        <w:t>已发生</w:t>
      </w:r>
      <w:r>
        <w:rPr>
          <w:rFonts w:hint="default" w:ascii="Times New Roman Regular" w:hAnsi="Times New Roman Regular" w:eastAsia="宋体" w:cs="Times New Roman Regular"/>
          <w:kern w:val="0"/>
          <w:sz w:val="24"/>
          <w:szCs w:val="20"/>
          <w:highlight w:val="none"/>
        </w:rPr>
        <w:t>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2"/>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45DF2297">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3B542EF9">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报价文件格式</w:t>
      </w:r>
    </w:p>
    <w:p w14:paraId="6ACE28D9">
      <w:pPr>
        <w:spacing w:after="78"/>
        <w:rPr>
          <w:highlight w:val="none"/>
        </w:rPr>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供应商基本情况表</w:t>
      </w:r>
    </w:p>
    <w:tbl>
      <w:tblPr>
        <w:tblStyle w:val="20"/>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highlight w:val="none"/>
              </w:rPr>
            </w:pPr>
            <w:r>
              <w:rPr>
                <w:rFonts w:hint="eastAsia" w:ascii="仿宋" w:hAnsi="仿宋" w:eastAsia="仿宋" w:cs="仿宋"/>
                <w:sz w:val="24"/>
                <w:szCs w:val="20"/>
                <w:highlight w:val="none"/>
              </w:rPr>
              <w:t>单位名称</w:t>
            </w:r>
          </w:p>
          <w:p w14:paraId="5AC73958">
            <w:pPr>
              <w:widowControl/>
              <w:spacing w:after="78" w:line="360" w:lineRule="atLeast"/>
              <w:jc w:val="center"/>
              <w:rPr>
                <w:rFonts w:hint="eastAsia" w:ascii="仿宋" w:hAnsi="仿宋" w:eastAsia="仿宋" w:cs="仿宋"/>
                <w:sz w:val="24"/>
                <w:szCs w:val="20"/>
                <w:highlight w:val="none"/>
                <w:lang w:eastAsia="zh-CN"/>
              </w:rPr>
            </w:pPr>
            <w:r>
              <w:rPr>
                <w:rFonts w:hint="eastAsia" w:ascii="仿宋" w:hAnsi="仿宋" w:eastAsia="仿宋" w:cs="仿宋"/>
                <w:sz w:val="24"/>
                <w:szCs w:val="20"/>
                <w:highlight w:val="none"/>
                <w:lang w:eastAsia="zh-CN"/>
              </w:rPr>
              <w:t>（</w:t>
            </w:r>
            <w:r>
              <w:rPr>
                <w:rFonts w:hint="eastAsia" w:ascii="仿宋" w:hAnsi="仿宋" w:eastAsia="仿宋" w:cs="仿宋"/>
                <w:sz w:val="24"/>
                <w:szCs w:val="20"/>
                <w:highlight w:val="none"/>
                <w:lang w:val="en-US" w:eastAsia="zh-CN"/>
              </w:rPr>
              <w:t>盖章</w:t>
            </w:r>
            <w:r>
              <w:rPr>
                <w:rFonts w:hint="eastAsia" w:ascii="仿宋" w:hAnsi="仿宋" w:eastAsia="仿宋" w:cs="仿宋"/>
                <w:sz w:val="24"/>
                <w:szCs w:val="20"/>
                <w:highlight w:val="none"/>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highlight w:val="none"/>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highlight w:val="none"/>
              </w:rPr>
            </w:pPr>
          </w:p>
        </w:tc>
        <w:tc>
          <w:tcPr>
            <w:tcW w:w="1320" w:type="dxa"/>
            <w:vAlign w:val="center"/>
          </w:tcPr>
          <w:p w14:paraId="61DFB499">
            <w:pPr>
              <w:widowControl/>
              <w:spacing w:after="78" w:line="360" w:lineRule="atLeast"/>
              <w:rPr>
                <w:rFonts w:ascii="仿宋" w:hAnsi="仿宋" w:eastAsia="仿宋" w:cs="仿宋"/>
                <w:sz w:val="24"/>
                <w:szCs w:val="20"/>
                <w:highlight w:val="none"/>
              </w:rPr>
            </w:pPr>
            <w:r>
              <w:rPr>
                <w:rFonts w:hint="eastAsia" w:ascii="仿宋" w:hAnsi="仿宋" w:eastAsia="仿宋" w:cs="仿宋"/>
                <w:sz w:val="24"/>
                <w:szCs w:val="20"/>
                <w:highlight w:val="none"/>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highlight w:val="none"/>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联系方式</w:t>
            </w:r>
          </w:p>
        </w:tc>
        <w:tc>
          <w:tcPr>
            <w:tcW w:w="957" w:type="dxa"/>
            <w:vAlign w:val="center"/>
          </w:tcPr>
          <w:p w14:paraId="3F4FFB6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highlight w:val="none"/>
              </w:rPr>
            </w:pPr>
          </w:p>
        </w:tc>
        <w:tc>
          <w:tcPr>
            <w:tcW w:w="1320" w:type="dxa"/>
            <w:vAlign w:val="center"/>
          </w:tcPr>
          <w:p w14:paraId="2F46460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highlight w:val="none"/>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highlight w:val="none"/>
              </w:rPr>
            </w:pPr>
          </w:p>
        </w:tc>
        <w:tc>
          <w:tcPr>
            <w:tcW w:w="850" w:type="dxa"/>
            <w:vAlign w:val="center"/>
          </w:tcPr>
          <w:p w14:paraId="466E2B8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080" w:type="dxa"/>
            <w:vAlign w:val="center"/>
          </w:tcPr>
          <w:p w14:paraId="645C23F2">
            <w:pPr>
              <w:widowControl/>
              <w:spacing w:after="78" w:line="360" w:lineRule="atLeast"/>
              <w:jc w:val="center"/>
              <w:rPr>
                <w:rFonts w:ascii="仿宋" w:hAnsi="仿宋" w:eastAsia="仿宋" w:cs="仿宋"/>
                <w:sz w:val="24"/>
                <w:szCs w:val="20"/>
                <w:highlight w:val="none"/>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highlight w:val="none"/>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highlight w:val="none"/>
              </w:rPr>
            </w:pPr>
            <w:r>
              <w:rPr>
                <w:rFonts w:hint="eastAsia" w:ascii="仿宋" w:hAnsi="仿宋" w:eastAsia="仿宋" w:cs="仿宋"/>
                <w:sz w:val="24"/>
                <w:szCs w:val="20"/>
                <w:highlight w:val="none"/>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highlight w:val="none"/>
              </w:rPr>
            </w:pPr>
          </w:p>
          <w:p w14:paraId="3B3D40B6">
            <w:pPr>
              <w:widowControl/>
              <w:spacing w:after="78" w:line="360" w:lineRule="atLeast"/>
              <w:jc w:val="center"/>
              <w:rPr>
                <w:rFonts w:ascii="仿宋" w:hAnsi="仿宋" w:eastAsia="仿宋" w:cs="仿宋"/>
                <w:sz w:val="24"/>
                <w:szCs w:val="20"/>
                <w:highlight w:val="none"/>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highlight w:val="none"/>
              </w:rPr>
            </w:pPr>
          </w:p>
          <w:p w14:paraId="5F63D767">
            <w:pPr>
              <w:widowControl/>
              <w:spacing w:after="78" w:line="360" w:lineRule="atLeast"/>
              <w:jc w:val="center"/>
              <w:rPr>
                <w:rFonts w:ascii="仿宋" w:hAnsi="仿宋" w:eastAsia="仿宋" w:cs="仿宋"/>
                <w:sz w:val="24"/>
                <w:szCs w:val="20"/>
                <w:highlight w:val="none"/>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highlight w:val="none"/>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highlight w:val="none"/>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highlight w:val="none"/>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highlight w:val="none"/>
              </w:rPr>
            </w:pPr>
          </w:p>
        </w:tc>
      </w:tr>
    </w:tbl>
    <w:p w14:paraId="6097F89D">
      <w:pPr>
        <w:spacing w:after="78"/>
        <w:ind w:firstLine="560"/>
        <w:rPr>
          <w:highlight w:val="none"/>
        </w:rPr>
      </w:pPr>
    </w:p>
    <w:p w14:paraId="50AE9708">
      <w:pPr>
        <w:spacing w:after="78"/>
        <w:ind w:firstLine="560"/>
        <w:rPr>
          <w:highlight w:val="none"/>
        </w:rPr>
      </w:pPr>
    </w:p>
    <w:p w14:paraId="4E1DC46D">
      <w:pPr>
        <w:spacing w:after="78"/>
        <w:ind w:firstLine="560"/>
        <w:rPr>
          <w:highlight w:val="none"/>
        </w:rPr>
      </w:pPr>
    </w:p>
    <w:p w14:paraId="0ABAC92E">
      <w:pPr>
        <w:snapToGrid w:val="0"/>
        <w:spacing w:afterLines="0" w:line="360" w:lineRule="auto"/>
        <w:ind w:firstLine="527" w:firstLineChars="250"/>
        <w:jc w:val="right"/>
        <w:rPr>
          <w:rFonts w:ascii="仿宋" w:hAnsi="仿宋" w:eastAsia="仿宋" w:cs="Arial"/>
          <w:b/>
          <w:bCs/>
          <w:highlight w:val="none"/>
        </w:rPr>
      </w:pPr>
      <w:r>
        <w:rPr>
          <w:rFonts w:ascii="仿宋" w:hAnsi="仿宋" w:eastAsia="仿宋"/>
          <w:b/>
          <w:szCs w:val="21"/>
          <w:highlight w:val="none"/>
        </w:rPr>
        <w:br w:type="page"/>
      </w:r>
    </w:p>
    <w:p w14:paraId="6B5EBFB9">
      <w:pPr>
        <w:snapToGrid w:val="0"/>
        <w:spacing w:afterLines="0" w:line="360" w:lineRule="auto"/>
        <w:ind w:firstLine="525" w:firstLineChars="250"/>
        <w:jc w:val="right"/>
        <w:rPr>
          <w:rFonts w:ascii="仿宋" w:hAnsi="仿宋" w:eastAsia="仿宋" w:cs="Arial"/>
          <w:highlight w:val="none"/>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资质文件</w:t>
      </w:r>
    </w:p>
    <w:p w14:paraId="4EA0B898">
      <w:pPr>
        <w:pStyle w:val="2"/>
        <w:adjustRightInd w:val="0"/>
        <w:spacing w:before="156" w:beforeLines="50" w:after="156" w:afterLines="50" w:line="415" w:lineRule="auto"/>
        <w:ind w:left="900" w:hanging="900"/>
        <w:jc w:val="center"/>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承诺函</w:t>
      </w:r>
    </w:p>
    <w:p w14:paraId="4CE72AAD">
      <w:pPr>
        <w:tabs>
          <w:tab w:val="left" w:pos="630"/>
        </w:tabs>
        <w:spacing w:after="60" w:line="276" w:lineRule="auto"/>
        <w:rPr>
          <w:rFonts w:hint="eastAsia" w:ascii="仿宋" w:hAnsi="仿宋" w:eastAsia="仿宋"/>
          <w:color w:val="000000"/>
          <w:szCs w:val="21"/>
          <w:highlight w:val="none"/>
        </w:rPr>
      </w:pPr>
      <w:r>
        <w:rPr>
          <w:rFonts w:hint="eastAsia" w:ascii="仿宋" w:hAnsi="仿宋" w:eastAsia="仿宋"/>
          <w:color w:val="000000"/>
          <w:szCs w:val="21"/>
          <w:highlight w:val="none"/>
        </w:rPr>
        <w:t>深圳市深水</w:t>
      </w:r>
      <w:r>
        <w:rPr>
          <w:rFonts w:hint="eastAsia" w:ascii="仿宋" w:hAnsi="仿宋" w:eastAsia="仿宋"/>
          <w:color w:val="000000"/>
          <w:szCs w:val="21"/>
          <w:highlight w:val="none"/>
          <w:lang w:val="en-US" w:eastAsia="zh-CN"/>
        </w:rPr>
        <w:t>横岗水务</w:t>
      </w:r>
      <w:r>
        <w:rPr>
          <w:rFonts w:hint="eastAsia" w:ascii="仿宋" w:hAnsi="仿宋" w:eastAsia="仿宋"/>
          <w:color w:val="000000"/>
          <w:szCs w:val="21"/>
          <w:highlight w:val="none"/>
        </w:rPr>
        <w:t>有限公司</w:t>
      </w:r>
      <w:r>
        <w:rPr>
          <w:rFonts w:ascii="仿宋" w:hAnsi="仿宋" w:eastAsia="仿宋"/>
          <w:color w:val="000000"/>
          <w:szCs w:val="21"/>
          <w:highlight w:val="none"/>
        </w:rPr>
        <w:t>：</w:t>
      </w:r>
    </w:p>
    <w:p w14:paraId="53D13535">
      <w:pPr>
        <w:spacing w:after="60" w:line="276" w:lineRule="auto"/>
        <w:ind w:firstLine="560"/>
        <w:rPr>
          <w:rFonts w:hint="eastAsia" w:ascii="仿宋" w:hAnsi="仿宋" w:eastAsia="仿宋"/>
          <w:szCs w:val="21"/>
          <w:highlight w:val="none"/>
        </w:rPr>
      </w:pPr>
      <w:r>
        <w:rPr>
          <w:rFonts w:ascii="仿宋" w:hAnsi="仿宋" w:eastAsia="仿宋"/>
          <w:color w:val="000000"/>
          <w:szCs w:val="21"/>
          <w:highlight w:val="none"/>
        </w:rPr>
        <w:t>根据贵方关于</w:t>
      </w:r>
      <w:r>
        <w:rPr>
          <w:rFonts w:hint="eastAsia" w:ascii="仿宋" w:hAnsi="仿宋" w:eastAsia="仿宋"/>
          <w:bCs/>
          <w:color w:val="000000"/>
          <w:szCs w:val="21"/>
          <w:highlight w:val="none"/>
          <w:u w:val="single"/>
          <w:lang w:val="en-US" w:eastAsia="zh-CN"/>
        </w:rPr>
        <w:t>进水提升泵维修服务采购项目</w:t>
      </w:r>
      <w:r>
        <w:rPr>
          <w:rFonts w:ascii="仿宋" w:hAnsi="仿宋" w:eastAsia="仿宋"/>
          <w:color w:val="000000"/>
          <w:szCs w:val="21"/>
          <w:highlight w:val="none"/>
        </w:rPr>
        <w:t>的</w:t>
      </w:r>
      <w:r>
        <w:rPr>
          <w:rFonts w:hint="eastAsia" w:ascii="仿宋" w:hAnsi="仿宋" w:eastAsia="仿宋"/>
          <w:color w:val="000000"/>
          <w:szCs w:val="21"/>
          <w:highlight w:val="none"/>
        </w:rPr>
        <w:t>询价</w:t>
      </w:r>
      <w:r>
        <w:rPr>
          <w:rFonts w:ascii="仿宋" w:hAnsi="仿宋" w:eastAsia="仿宋"/>
          <w:color w:val="000000"/>
          <w:szCs w:val="21"/>
          <w:highlight w:val="none"/>
        </w:rPr>
        <w:t>文件的要求，我单位正式参加贵方组织的</w:t>
      </w:r>
      <w:r>
        <w:rPr>
          <w:rFonts w:hint="eastAsia" w:ascii="仿宋" w:hAnsi="仿宋" w:eastAsia="仿宋"/>
          <w:bCs/>
          <w:color w:val="000000"/>
          <w:szCs w:val="21"/>
          <w:highlight w:val="none"/>
          <w:u w:val="single"/>
          <w:lang w:val="en-US" w:eastAsia="zh-CN"/>
        </w:rPr>
        <w:t>进水提升泵维修服务采购项目</w:t>
      </w:r>
      <w:r>
        <w:rPr>
          <w:rFonts w:hint="eastAsia" w:ascii="仿宋" w:hAnsi="仿宋" w:eastAsia="仿宋"/>
          <w:bCs/>
          <w:color w:val="000000"/>
          <w:szCs w:val="21"/>
          <w:highlight w:val="none"/>
        </w:rPr>
        <w:t>报价</w:t>
      </w:r>
      <w:r>
        <w:rPr>
          <w:rFonts w:ascii="仿宋" w:hAnsi="仿宋" w:eastAsia="仿宋"/>
          <w:color w:val="000000"/>
          <w:szCs w:val="21"/>
          <w:highlight w:val="none"/>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highlight w:val="none"/>
        </w:rPr>
      </w:pPr>
      <w:r>
        <w:rPr>
          <w:rFonts w:hint="eastAsia" w:ascii="仿宋" w:hAnsi="仿宋" w:eastAsia="仿宋" w:cs="Times New Roman"/>
          <w:bCs/>
          <w:kern w:val="2"/>
          <w:sz w:val="21"/>
          <w:szCs w:val="21"/>
          <w:highlight w:val="none"/>
        </w:rPr>
        <w:t>参选承诺</w:t>
      </w:r>
      <w:r>
        <w:rPr>
          <w:rFonts w:hint="eastAsia" w:ascii="仿宋" w:hAnsi="仿宋" w:eastAsia="仿宋" w:cs="Times New Roman"/>
          <w:b w:val="0"/>
          <w:kern w:val="2"/>
          <w:sz w:val="21"/>
          <w:szCs w:val="21"/>
          <w:highlight w:val="none"/>
        </w:rPr>
        <w:t>：</w:t>
      </w:r>
    </w:p>
    <w:p w14:paraId="14C915C9">
      <w:pPr>
        <w:pStyle w:val="62"/>
        <w:spacing w:line="276" w:lineRule="auto"/>
        <w:ind w:firstLine="420" w:firstLineChars="200"/>
        <w:jc w:val="both"/>
        <w:rPr>
          <w:rFonts w:hint="eastAsia" w:ascii="仿宋" w:hAnsi="仿宋" w:eastAsia="仿宋" w:cs="Times New Roman"/>
          <w:b w:val="0"/>
          <w:kern w:val="2"/>
          <w:sz w:val="21"/>
          <w:szCs w:val="21"/>
          <w:highlight w:val="none"/>
        </w:rPr>
      </w:pPr>
      <w:r>
        <w:rPr>
          <w:rFonts w:ascii="仿宋" w:hAnsi="仿宋" w:eastAsia="仿宋" w:cs="Times New Roman"/>
          <w:b w:val="0"/>
          <w:kern w:val="2"/>
          <w:sz w:val="21"/>
          <w:szCs w:val="21"/>
          <w:highlight w:val="none"/>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2.我公司完全满足</w:t>
      </w:r>
      <w:r>
        <w:rPr>
          <w:rFonts w:hint="eastAsia" w:ascii="仿宋" w:hAnsi="仿宋" w:eastAsia="仿宋"/>
          <w:color w:val="000000"/>
          <w:szCs w:val="21"/>
          <w:highlight w:val="none"/>
        </w:rPr>
        <w:t>询价公告</w:t>
      </w:r>
      <w:r>
        <w:rPr>
          <w:rFonts w:ascii="仿宋" w:hAnsi="仿宋" w:eastAsia="仿宋"/>
          <w:color w:val="000000"/>
          <w:szCs w:val="21"/>
          <w:highlight w:val="none"/>
        </w:rPr>
        <w:t>中全部实质性要求，响应贵司在</w:t>
      </w:r>
      <w:r>
        <w:rPr>
          <w:rFonts w:hint="eastAsia" w:ascii="仿宋" w:hAnsi="仿宋" w:eastAsia="仿宋"/>
          <w:color w:val="000000"/>
          <w:szCs w:val="21"/>
          <w:highlight w:val="none"/>
        </w:rPr>
        <w:t>询价</w:t>
      </w:r>
      <w:r>
        <w:rPr>
          <w:rFonts w:ascii="仿宋" w:hAnsi="仿宋" w:eastAsia="仿宋"/>
          <w:color w:val="000000"/>
          <w:szCs w:val="21"/>
          <w:highlight w:val="none"/>
        </w:rPr>
        <w:t>公告中提出的各项要求。</w:t>
      </w:r>
    </w:p>
    <w:p w14:paraId="7EC87BF3">
      <w:pPr>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3.保证遵守</w:t>
      </w:r>
      <w:r>
        <w:rPr>
          <w:rFonts w:hint="eastAsia" w:ascii="仿宋" w:hAnsi="仿宋" w:eastAsia="仿宋"/>
          <w:color w:val="000000"/>
          <w:szCs w:val="21"/>
          <w:highlight w:val="none"/>
        </w:rPr>
        <w:t>询价</w:t>
      </w:r>
      <w:r>
        <w:rPr>
          <w:rFonts w:ascii="仿宋" w:hAnsi="仿宋" w:eastAsia="仿宋"/>
          <w:color w:val="000000"/>
          <w:szCs w:val="21"/>
          <w:highlight w:val="none"/>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5.我们已详细审核全部</w:t>
      </w:r>
      <w:r>
        <w:rPr>
          <w:rFonts w:hint="eastAsia" w:ascii="仿宋" w:hAnsi="仿宋" w:eastAsia="仿宋"/>
          <w:color w:val="000000"/>
          <w:szCs w:val="21"/>
          <w:highlight w:val="none"/>
        </w:rPr>
        <w:t>询价</w:t>
      </w:r>
      <w:r>
        <w:rPr>
          <w:rFonts w:ascii="仿宋" w:hAnsi="仿宋" w:eastAsia="仿宋"/>
          <w:color w:val="000000"/>
          <w:szCs w:val="21"/>
          <w:highlight w:val="none"/>
        </w:rPr>
        <w:t>公告、</w:t>
      </w:r>
      <w:r>
        <w:rPr>
          <w:rFonts w:hint="eastAsia" w:ascii="仿宋" w:hAnsi="仿宋" w:eastAsia="仿宋"/>
          <w:color w:val="000000"/>
          <w:szCs w:val="21"/>
          <w:highlight w:val="none"/>
        </w:rPr>
        <w:t>报价文件</w:t>
      </w:r>
      <w:r>
        <w:rPr>
          <w:rFonts w:ascii="仿宋" w:hAnsi="仿宋" w:eastAsia="仿宋"/>
          <w:color w:val="000000"/>
          <w:szCs w:val="21"/>
          <w:highlight w:val="none"/>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6.我们完全理解贵方不一定接受最低报价或收到的任何报价。</w:t>
      </w:r>
    </w:p>
    <w:p w14:paraId="578AA903">
      <w:pPr>
        <w:tabs>
          <w:tab w:val="left" w:pos="1110"/>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7.我公司承诺不将本项目转包或分包给其他任何机构。</w:t>
      </w:r>
    </w:p>
    <w:p w14:paraId="18EBE77F">
      <w:pPr>
        <w:tabs>
          <w:tab w:val="left" w:pos="1110"/>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8</w:t>
      </w:r>
      <w:r>
        <w:rPr>
          <w:rFonts w:ascii="仿宋" w:hAnsi="仿宋" w:eastAsia="仿宋"/>
          <w:szCs w:val="21"/>
          <w:highlight w:val="none"/>
        </w:rPr>
        <w:t>.我公司承诺符合以下要求：</w:t>
      </w:r>
      <w:r>
        <w:rPr>
          <w:rFonts w:hint="eastAsia" w:ascii="仿宋" w:hAnsi="仿宋" w:eastAsia="仿宋"/>
          <w:szCs w:val="21"/>
          <w:highlight w:val="none"/>
        </w:rPr>
        <w:t xml:space="preserve"> </w:t>
      </w:r>
    </w:p>
    <w:p w14:paraId="08128B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（3）近两年内（202</w:t>
      </w:r>
      <w:r>
        <w:rPr>
          <w:rFonts w:hint="eastAsia" w:ascii="仿宋" w:hAnsi="仿宋" w:eastAsia="仿宋"/>
          <w:szCs w:val="21"/>
          <w:highlight w:val="none"/>
          <w:lang w:val="en-US" w:eastAsia="zh-CN"/>
        </w:rPr>
        <w:t>4</w:t>
      </w:r>
      <w:r>
        <w:rPr>
          <w:rFonts w:hint="eastAsia" w:ascii="仿宋" w:hAnsi="仿宋" w:eastAsia="仿宋"/>
          <w:szCs w:val="21"/>
          <w:highlight w:val="none"/>
        </w:rPr>
        <w:t>年</w:t>
      </w:r>
      <w:r>
        <w:rPr>
          <w:rFonts w:hint="eastAsia" w:ascii="仿宋" w:hAnsi="仿宋" w:eastAsia="仿宋"/>
          <w:szCs w:val="21"/>
          <w:highlight w:val="none"/>
          <w:lang w:val="en-US" w:eastAsia="zh-CN"/>
        </w:rPr>
        <w:t>4</w:t>
      </w:r>
      <w:r>
        <w:rPr>
          <w:rFonts w:hint="eastAsia" w:ascii="仿宋" w:hAnsi="仿宋" w:eastAsia="仿宋"/>
          <w:szCs w:val="21"/>
          <w:highlight w:val="none"/>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（4）</w:t>
      </w:r>
      <w:r>
        <w:rPr>
          <w:rFonts w:ascii="仿宋" w:hAnsi="仿宋" w:eastAsia="仿宋"/>
          <w:szCs w:val="21"/>
          <w:highlight w:val="none"/>
        </w:rPr>
        <w:t>不存在与单位负责人为同一人或者存在直接控股、管理关系的其他供应商参与同一合同项下的采购活动的行为</w:t>
      </w:r>
      <w:r>
        <w:rPr>
          <w:rFonts w:hint="eastAsia" w:ascii="仿宋" w:hAnsi="仿宋" w:eastAsia="仿宋"/>
          <w:szCs w:val="21"/>
          <w:highlight w:val="none"/>
        </w:rPr>
        <w:t>；</w:t>
      </w:r>
    </w:p>
    <w:p w14:paraId="02AA1B0B">
      <w:pPr>
        <w:tabs>
          <w:tab w:val="left" w:pos="1110"/>
        </w:tabs>
        <w:spacing w:after="60" w:line="276" w:lineRule="auto"/>
        <w:ind w:firstLine="420" w:firstLineChars="200"/>
        <w:rPr>
          <w:rFonts w:hint="eastAsia" w:ascii="仿宋" w:hAnsi="仿宋" w:eastAsia="仿宋"/>
          <w:color w:val="000000"/>
          <w:szCs w:val="21"/>
          <w:highlight w:val="none"/>
        </w:rPr>
      </w:pPr>
      <w:r>
        <w:rPr>
          <w:rFonts w:hint="eastAsia" w:ascii="仿宋" w:hAnsi="仿宋" w:eastAsia="仿宋"/>
          <w:szCs w:val="21"/>
          <w:highlight w:val="none"/>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highlight w:val="none"/>
        </w:rPr>
      </w:pPr>
      <w:r>
        <w:rPr>
          <w:rFonts w:hint="eastAsia" w:ascii="仿宋" w:hAnsi="仿宋" w:eastAsia="仿宋" w:cs="Times New Roman"/>
          <w:bCs/>
          <w:kern w:val="2"/>
          <w:sz w:val="21"/>
          <w:szCs w:val="21"/>
          <w:highlight w:val="none"/>
        </w:rPr>
        <w:t>廉洁承诺：</w:t>
      </w:r>
    </w:p>
    <w:p w14:paraId="515185E4">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为保证交易公平、公正、廉洁、诚信，抵制商业贿赂和不正当竞争，根据国家有关法律法规及廉洁建设相关规定，对于贵公司开展的</w:t>
      </w:r>
      <w:r>
        <w:rPr>
          <w:rFonts w:hint="eastAsia" w:ascii="仿宋" w:hAnsi="仿宋" w:eastAsia="仿宋"/>
          <w:szCs w:val="21"/>
          <w:highlight w:val="none"/>
          <w:u w:val="single"/>
          <w:lang w:val="en-US" w:eastAsia="zh-CN"/>
        </w:rPr>
        <w:t>进水提升泵维修服务采购项目</w:t>
      </w:r>
      <w:r>
        <w:rPr>
          <w:rFonts w:ascii="仿宋" w:hAnsi="仿宋" w:eastAsia="仿宋"/>
          <w:szCs w:val="21"/>
          <w:highlight w:val="none"/>
        </w:rPr>
        <w:t>选聘，特承诺如下：</w:t>
      </w:r>
    </w:p>
    <w:p w14:paraId="141C7EFB">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highlight w:val="none"/>
        </w:rPr>
      </w:pPr>
    </w:p>
    <w:p w14:paraId="1501BA49">
      <w:pPr>
        <w:spacing w:after="60" w:line="276" w:lineRule="auto"/>
        <w:ind w:left="525"/>
        <w:rPr>
          <w:rFonts w:hint="eastAsia" w:ascii="仿宋" w:hAnsi="仿宋" w:eastAsia="仿宋"/>
          <w:color w:val="000000"/>
          <w:szCs w:val="21"/>
          <w:highlight w:val="none"/>
        </w:rPr>
      </w:pPr>
      <w:r>
        <w:rPr>
          <w:rFonts w:ascii="仿宋" w:hAnsi="仿宋" w:eastAsia="仿宋"/>
          <w:color w:val="000000"/>
          <w:szCs w:val="21"/>
          <w:highlight w:val="none"/>
        </w:rPr>
        <w:t>参选单位：</w:t>
      </w:r>
      <w:r>
        <w:rPr>
          <w:rFonts w:ascii="仿宋" w:hAnsi="仿宋" w:eastAsia="仿宋"/>
          <w:szCs w:val="21"/>
          <w:highlight w:val="none"/>
          <w:u w:val="single"/>
        </w:rPr>
        <w:t>（盖</w:t>
      </w:r>
      <w:r>
        <w:rPr>
          <w:rFonts w:hint="eastAsia" w:ascii="仿宋" w:hAnsi="仿宋" w:eastAsia="仿宋"/>
          <w:szCs w:val="21"/>
          <w:highlight w:val="none"/>
          <w:u w:val="single"/>
        </w:rPr>
        <w:t>章</w:t>
      </w:r>
      <w:r>
        <w:rPr>
          <w:rFonts w:ascii="仿宋" w:hAnsi="仿宋" w:eastAsia="仿宋"/>
          <w:szCs w:val="21"/>
          <w:highlight w:val="none"/>
          <w:u w:val="single"/>
        </w:rPr>
        <w:t>）</w:t>
      </w:r>
    </w:p>
    <w:p w14:paraId="5AA0D96D">
      <w:pPr>
        <w:spacing w:after="60" w:line="276" w:lineRule="auto"/>
        <w:ind w:firstLine="630" w:firstLineChars="300"/>
        <w:rPr>
          <w:rFonts w:hint="eastAsia" w:ascii="仿宋" w:hAnsi="仿宋" w:eastAsia="仿宋"/>
          <w:color w:val="000000"/>
          <w:szCs w:val="21"/>
          <w:highlight w:val="none"/>
        </w:rPr>
      </w:pPr>
      <w:r>
        <w:rPr>
          <w:rFonts w:ascii="仿宋" w:hAnsi="仿宋" w:eastAsia="仿宋"/>
          <w:color w:val="000000"/>
          <w:szCs w:val="21"/>
          <w:highlight w:val="none"/>
        </w:rPr>
        <w:t>年    月    日</w:t>
      </w:r>
    </w:p>
    <w:p w14:paraId="6A949093">
      <w:pPr>
        <w:pStyle w:val="2"/>
        <w:spacing w:beforeLines="0" w:afterLines="0"/>
        <w:rPr>
          <w:rFonts w:hint="eastAsia"/>
          <w:sz w:val="24"/>
          <w:szCs w:val="24"/>
          <w:highlight w:val="none"/>
        </w:rPr>
      </w:pPr>
      <w:r>
        <w:rPr>
          <w:highlight w:val="none"/>
        </w:rPr>
        <w:br w:type="page"/>
      </w:r>
      <w:bookmarkStart w:id="8" w:name="_Hlk180658069"/>
      <w:r>
        <w:rPr>
          <w:rFonts w:hint="eastAsia"/>
          <w:sz w:val="24"/>
          <w:szCs w:val="24"/>
          <w:highlight w:val="none"/>
        </w:rPr>
        <w:t>营业执照</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2FA3F63">
      <w:pPr>
        <w:pStyle w:val="63"/>
        <w:spacing w:beforeLines="0" w:afterLines="0"/>
        <w:ind w:firstLine="480"/>
        <w:rPr>
          <w:rFonts w:hint="default"/>
          <w:sz w:val="21"/>
          <w:szCs w:val="21"/>
          <w:highlight w:val="none"/>
        </w:rPr>
      </w:pPr>
    </w:p>
    <w:bookmarkEnd w:id="8"/>
    <w:p w14:paraId="31AAB706">
      <w:pPr>
        <w:pStyle w:val="2"/>
        <w:spacing w:beforeLines="0" w:afterLines="0"/>
        <w:rPr>
          <w:rFonts w:hint="eastAsia"/>
          <w:sz w:val="24"/>
          <w:szCs w:val="24"/>
          <w:highlight w:val="none"/>
        </w:rPr>
      </w:pPr>
      <w:r>
        <w:rPr>
          <w:rFonts w:hint="eastAsia" w:ascii="仿宋" w:hAnsi="仿宋" w:eastAsia="仿宋" w:cs="宋体"/>
          <w:color w:val="000000"/>
          <w:sz w:val="24"/>
          <w:szCs w:val="21"/>
          <w:highlight w:val="none"/>
        </w:rPr>
        <w:br w:type="page"/>
      </w:r>
      <w:r>
        <w:rPr>
          <w:rFonts w:hint="eastAsia" w:eastAsia="仿宋"/>
          <w:sz w:val="24"/>
          <w:szCs w:val="24"/>
          <w:highlight w:val="none"/>
          <w:lang w:val="en-US" w:eastAsia="zh-CN"/>
        </w:rPr>
        <w:t>业绩证明（需含封面、服务内容、签章页）</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4A3D348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07693B5">
      <w:pPr>
        <w:spacing w:before="156" w:beforeLines="50" w:after="156" w:afterLines="50"/>
        <w:ind w:left="420" w:leftChars="2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br w:type="page"/>
      </w:r>
    </w:p>
    <w:p w14:paraId="77F99009">
      <w:pPr>
        <w:spacing w:before="156" w:beforeLines="50" w:after="156" w:afterLines="50"/>
        <w:ind w:left="420" w:leftChars="200"/>
        <w:jc w:val="left"/>
        <w:rPr>
          <w:rFonts w:hint="eastAsia" w:ascii="仿宋" w:hAnsi="仿宋" w:eastAsia="仿宋" w:cs="宋体"/>
          <w:color w:val="000000"/>
          <w:sz w:val="24"/>
          <w:szCs w:val="21"/>
          <w:highlight w:val="none"/>
        </w:rPr>
      </w:pPr>
    </w:p>
    <w:p w14:paraId="50D81811">
      <w:pPr>
        <w:pStyle w:val="2"/>
        <w:spacing w:before="156" w:beforeLines="50" w:after="156" w:afterLines="50"/>
        <w:ind w:left="1020" w:leftChars="200" w:hanging="600"/>
        <w:jc w:val="left"/>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现场踏勘确认表及踏勘照片</w:t>
      </w:r>
    </w:p>
    <w:p w14:paraId="0D2028BC">
      <w:pPr>
        <w:pStyle w:val="67"/>
        <w:spacing w:after="78"/>
        <w:ind w:firstLine="0" w:firstLineChars="0"/>
        <w:jc w:val="center"/>
        <w:rPr>
          <w:rFonts w:hint="eastAsia" w:ascii="仿宋" w:hAnsi="仿宋" w:eastAsia="仿宋"/>
          <w:b/>
          <w:bCs/>
          <w:sz w:val="36"/>
          <w:szCs w:val="36"/>
          <w:highlight w:val="none"/>
        </w:rPr>
      </w:pPr>
      <w:r>
        <w:rPr>
          <w:rFonts w:hint="eastAsia" w:ascii="仿宋" w:hAnsi="仿宋" w:eastAsia="仿宋"/>
          <w:b/>
          <w:bCs/>
          <w:sz w:val="36"/>
          <w:szCs w:val="36"/>
          <w:highlight w:val="none"/>
          <w:lang w:val="en-US" w:eastAsia="zh-CN"/>
        </w:rPr>
        <w:t>进水提升泵维修服务采购项目</w:t>
      </w:r>
      <w:r>
        <w:rPr>
          <w:rFonts w:hint="eastAsia" w:ascii="仿宋" w:hAnsi="仿宋" w:eastAsia="仿宋"/>
          <w:b/>
          <w:bCs/>
          <w:sz w:val="36"/>
          <w:szCs w:val="36"/>
          <w:highlight w:val="none"/>
        </w:rPr>
        <w:t>现场踏勘确认单</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highlight w:val="none"/>
              </w:rPr>
            </w:pPr>
            <w:r>
              <w:rPr>
                <w:rFonts w:hint="eastAsia" w:eastAsia="仿宋_GB2312"/>
                <w:b/>
                <w:bCs/>
                <w:sz w:val="32"/>
                <w:szCs w:val="32"/>
                <w:highlight w:val="none"/>
              </w:rPr>
              <w:t>项目名称</w:t>
            </w:r>
          </w:p>
        </w:tc>
        <w:tc>
          <w:tcPr>
            <w:tcW w:w="5710" w:type="dxa"/>
            <w:vAlign w:val="center"/>
          </w:tcPr>
          <w:p w14:paraId="6C863860">
            <w:pPr>
              <w:spacing w:after="78" w:line="640" w:lineRule="exact"/>
              <w:jc w:val="center"/>
              <w:rPr>
                <w:rFonts w:eastAsia="仿宋_GB2312"/>
                <w:b/>
                <w:bCs/>
                <w:sz w:val="32"/>
                <w:szCs w:val="32"/>
                <w:highlight w:val="none"/>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踏勘时间</w:t>
            </w:r>
          </w:p>
        </w:tc>
        <w:tc>
          <w:tcPr>
            <w:tcW w:w="5710" w:type="dxa"/>
            <w:vAlign w:val="center"/>
          </w:tcPr>
          <w:p w14:paraId="75FCEE45">
            <w:pPr>
              <w:spacing w:after="78" w:line="640" w:lineRule="exact"/>
              <w:jc w:val="center"/>
              <w:rPr>
                <w:rFonts w:eastAsia="仿宋_GB2312"/>
                <w:b/>
                <w:bCs/>
                <w:sz w:val="32"/>
                <w:szCs w:val="32"/>
                <w:highlight w:val="none"/>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参选单位名称</w:t>
            </w:r>
          </w:p>
        </w:tc>
        <w:tc>
          <w:tcPr>
            <w:tcW w:w="5710" w:type="dxa"/>
            <w:vAlign w:val="center"/>
          </w:tcPr>
          <w:p w14:paraId="59CC4958">
            <w:pPr>
              <w:spacing w:after="78" w:line="640" w:lineRule="exact"/>
              <w:rPr>
                <w:rFonts w:eastAsia="仿宋_GB2312"/>
                <w:b/>
                <w:bCs/>
                <w:sz w:val="32"/>
                <w:szCs w:val="32"/>
                <w:highlight w:val="none"/>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踏勘确认事项</w:t>
            </w:r>
          </w:p>
        </w:tc>
        <w:tc>
          <w:tcPr>
            <w:tcW w:w="5710" w:type="dxa"/>
            <w:vAlign w:val="center"/>
          </w:tcPr>
          <w:p w14:paraId="2DDC7A8C">
            <w:pPr>
              <w:spacing w:after="78"/>
              <w:ind w:firstLine="560" w:firstLineChars="200"/>
              <w:rPr>
                <w:rFonts w:eastAsia="仿宋_GB2312"/>
                <w:sz w:val="28"/>
                <w:szCs w:val="28"/>
                <w:highlight w:val="none"/>
              </w:rPr>
            </w:pPr>
            <w:r>
              <w:rPr>
                <w:rFonts w:hint="eastAsia" w:eastAsia="仿宋_GB2312"/>
                <w:sz w:val="28"/>
                <w:szCs w:val="28"/>
                <w:highlight w:val="none"/>
              </w:rPr>
              <w:t>本公司已进行实地踏勘，本公司对本项采购范围、内容及相对应的情况已进行了确认。</w:t>
            </w:r>
          </w:p>
          <w:p w14:paraId="7E562B0A">
            <w:pPr>
              <w:spacing w:after="78"/>
              <w:ind w:firstLine="560" w:firstLineChars="200"/>
              <w:rPr>
                <w:rFonts w:eastAsia="仿宋_GB2312"/>
                <w:sz w:val="32"/>
                <w:szCs w:val="32"/>
                <w:highlight w:val="none"/>
              </w:rPr>
            </w:pPr>
            <w:r>
              <w:rPr>
                <w:rFonts w:hint="eastAsia" w:eastAsia="仿宋_GB2312"/>
                <w:sz w:val="28"/>
                <w:szCs w:val="28"/>
                <w:highlight w:val="none"/>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参选单位联系人</w:t>
            </w:r>
          </w:p>
        </w:tc>
        <w:tc>
          <w:tcPr>
            <w:tcW w:w="5710" w:type="dxa"/>
            <w:vAlign w:val="center"/>
          </w:tcPr>
          <w:p w14:paraId="24EB00DC">
            <w:pPr>
              <w:spacing w:after="78" w:line="640" w:lineRule="exact"/>
              <w:jc w:val="center"/>
              <w:rPr>
                <w:rFonts w:eastAsia="仿宋_GB2312"/>
                <w:b/>
                <w:bCs/>
                <w:sz w:val="32"/>
                <w:szCs w:val="32"/>
                <w:highlight w:val="none"/>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参选单位联系电话</w:t>
            </w:r>
          </w:p>
        </w:tc>
        <w:tc>
          <w:tcPr>
            <w:tcW w:w="5710" w:type="dxa"/>
            <w:vAlign w:val="center"/>
          </w:tcPr>
          <w:p w14:paraId="7FED9C76">
            <w:pPr>
              <w:spacing w:after="78" w:line="640" w:lineRule="exact"/>
              <w:jc w:val="center"/>
              <w:rPr>
                <w:rFonts w:eastAsia="仿宋_GB2312"/>
                <w:b/>
                <w:bCs/>
                <w:sz w:val="32"/>
                <w:szCs w:val="32"/>
                <w:highlight w:val="none"/>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highlight w:val="none"/>
              </w:rPr>
            </w:pPr>
            <w:r>
              <w:rPr>
                <w:rFonts w:hint="eastAsia" w:eastAsia="仿宋_GB2312"/>
                <w:b/>
                <w:bCs/>
                <w:sz w:val="32"/>
                <w:szCs w:val="32"/>
                <w:highlight w:val="none"/>
              </w:rPr>
              <w:t>采购单位项目经理签字确认</w:t>
            </w:r>
          </w:p>
        </w:tc>
        <w:tc>
          <w:tcPr>
            <w:tcW w:w="5710" w:type="dxa"/>
            <w:vAlign w:val="center"/>
          </w:tcPr>
          <w:p w14:paraId="40B35B77">
            <w:pPr>
              <w:spacing w:after="78" w:line="640" w:lineRule="exact"/>
              <w:jc w:val="center"/>
              <w:rPr>
                <w:rFonts w:eastAsia="仿宋_GB2312"/>
                <w:b/>
                <w:bCs/>
                <w:sz w:val="32"/>
                <w:szCs w:val="32"/>
                <w:highlight w:val="none"/>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highlight w:val="none"/>
              </w:rPr>
            </w:pPr>
            <w:r>
              <w:rPr>
                <w:rFonts w:hint="eastAsia" w:eastAsia="仿宋_GB2312"/>
                <w:b/>
                <w:bCs/>
                <w:sz w:val="32"/>
                <w:szCs w:val="32"/>
                <w:highlight w:val="none"/>
              </w:rPr>
              <w:t>备注</w:t>
            </w:r>
          </w:p>
        </w:tc>
        <w:tc>
          <w:tcPr>
            <w:tcW w:w="5710" w:type="dxa"/>
            <w:vAlign w:val="center"/>
          </w:tcPr>
          <w:p w14:paraId="47A63F3A">
            <w:pPr>
              <w:spacing w:after="78" w:line="640" w:lineRule="exact"/>
              <w:jc w:val="center"/>
              <w:rPr>
                <w:rFonts w:eastAsia="仿宋_GB2312"/>
                <w:b/>
                <w:bCs/>
                <w:sz w:val="32"/>
                <w:szCs w:val="32"/>
                <w:highlight w:val="none"/>
              </w:rPr>
            </w:pPr>
          </w:p>
        </w:tc>
      </w:tr>
    </w:tbl>
    <w:p w14:paraId="21AF0AA8">
      <w:pPr>
        <w:spacing w:after="78"/>
        <w:rPr>
          <w:highlight w:val="none"/>
        </w:rPr>
      </w:pPr>
      <w:r>
        <w:rPr>
          <w:rFonts w:hint="eastAsia"/>
          <w:highlight w:val="none"/>
        </w:rPr>
        <w:t>注：（1）《现场踏勘确认单》需附参选单位到项目现场踏勘的照片，</w:t>
      </w:r>
      <w:r>
        <w:rPr>
          <w:rFonts w:hint="eastAsia"/>
          <w:b/>
          <w:bCs/>
          <w:color w:val="FF0000"/>
          <w:highlight w:val="none"/>
        </w:rPr>
        <w:t>照片内应有参选单位人员及项目人员。</w:t>
      </w:r>
    </w:p>
    <w:p w14:paraId="53389DDB">
      <w:pPr>
        <w:spacing w:after="78"/>
        <w:rPr>
          <w:highlight w:val="none"/>
        </w:rPr>
      </w:pPr>
      <w:r>
        <w:rPr>
          <w:rFonts w:hint="eastAsia"/>
          <w:highlight w:val="none"/>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highlight w:val="none"/>
        </w:rPr>
      </w:pPr>
      <w:r>
        <w:rPr>
          <w:rFonts w:hint="eastAsia" w:ascii="仿宋_GB2312" w:eastAsia="仿宋_GB2312"/>
          <w:b/>
          <w:bCs/>
          <w:sz w:val="22"/>
          <w:szCs w:val="28"/>
          <w:highlight w:val="none"/>
        </w:rPr>
        <w:t>附：现场踏勘照片</w:t>
      </w:r>
    </w:p>
    <w:p w14:paraId="08EFF90A">
      <w:pPr>
        <w:spacing w:after="78"/>
        <w:rPr>
          <w:highlight w:val="none"/>
        </w:rPr>
      </w:pPr>
      <w:r>
        <w:rPr>
          <w:highlight w:val="none"/>
        </w:rPr>
        <w:br w:type="page"/>
      </w:r>
    </w:p>
    <w:p w14:paraId="6B5DF6DB">
      <w:pPr>
        <w:pStyle w:val="2"/>
        <w:spacing w:beforeLines="0" w:afterLines="0"/>
        <w:rPr>
          <w:rFonts w:hint="eastAsia" w:eastAsia="宋体"/>
          <w:sz w:val="24"/>
          <w:szCs w:val="24"/>
          <w:highlight w:val="none"/>
          <w:lang w:eastAsia="zh-CN"/>
        </w:rPr>
      </w:pPr>
      <w:r>
        <w:rPr>
          <w:rFonts w:hint="eastAsia"/>
          <w:sz w:val="24"/>
          <w:szCs w:val="24"/>
          <w:highlight w:val="none"/>
        </w:rPr>
        <w:t>现场踏勘照片</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ACFFC2">
      <w:pPr>
        <w:pStyle w:val="63"/>
        <w:spacing w:beforeLines="0" w:afterLines="0"/>
        <w:ind w:firstLine="480"/>
        <w:rPr>
          <w:rFonts w:hint="default"/>
          <w:sz w:val="21"/>
          <w:szCs w:val="21"/>
          <w:highlight w:val="none"/>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highlight w:val="none"/>
        </w:rPr>
      </w:pPr>
      <w:r>
        <w:rPr>
          <w:rFonts w:ascii="仿宋" w:hAnsi="仿宋" w:eastAsia="仿宋" w:cs="宋体"/>
          <w:color w:val="000000"/>
          <w:sz w:val="24"/>
          <w:szCs w:val="21"/>
          <w:highlight w:val="none"/>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highlight w:val="none"/>
        </w:rP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lang w:val="en-US" w:eastAsia="zh-CN"/>
        </w:rPr>
        <w:t>进水提升泵维修服务采购项目</w:t>
      </w:r>
      <w:r>
        <w:rPr>
          <w:rFonts w:hint="eastAsia" w:ascii="仿宋" w:hAnsi="仿宋" w:eastAsia="仿宋"/>
          <w:b/>
          <w:bCs/>
          <w:kern w:val="0"/>
          <w:sz w:val="24"/>
          <w:highlight w:val="none"/>
        </w:rPr>
        <w:t>报价一览表</w:t>
      </w:r>
    </w:p>
    <w:p w14:paraId="5E222BD2">
      <w:pPr>
        <w:pStyle w:val="8"/>
        <w:jc w:val="center"/>
        <w:rPr>
          <w:rFonts w:ascii="仿宋" w:hAnsi="仿宋" w:eastAsia="仿宋"/>
          <w:sz w:val="22"/>
          <w:szCs w:val="28"/>
          <w:highlight w:val="none"/>
        </w:rPr>
      </w:pPr>
    </w:p>
    <w:tbl>
      <w:tblPr>
        <w:tblStyle w:val="21"/>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1164"/>
        <w:gridCol w:w="2197"/>
        <w:gridCol w:w="767"/>
        <w:gridCol w:w="561"/>
        <w:gridCol w:w="967"/>
        <w:gridCol w:w="1246"/>
        <w:gridCol w:w="1828"/>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7"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730" w:type="dxa"/>
            <w:gridSpan w:val="7"/>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进水提升泵维修服务采购项目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4689" w:type="dxa"/>
            <w:gridSpan w:val="4"/>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967"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074"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017" w:type="dxa"/>
            <w:vMerge w:val="continue"/>
            <w:vAlign w:val="center"/>
          </w:tcPr>
          <w:p w14:paraId="4D23C2BC">
            <w:pPr>
              <w:spacing w:afterLines="0" w:line="300" w:lineRule="exact"/>
              <w:jc w:val="center"/>
              <w:rPr>
                <w:rFonts w:ascii="仿宋" w:hAnsi="仿宋" w:eastAsia="仿宋"/>
                <w:szCs w:val="21"/>
                <w:highlight w:val="none"/>
              </w:rPr>
            </w:pPr>
          </w:p>
        </w:tc>
        <w:tc>
          <w:tcPr>
            <w:tcW w:w="4689" w:type="dxa"/>
            <w:gridSpan w:val="4"/>
            <w:vMerge w:val="continue"/>
            <w:vAlign w:val="center"/>
          </w:tcPr>
          <w:p w14:paraId="56346BA5">
            <w:pPr>
              <w:spacing w:afterLines="0" w:line="300" w:lineRule="exact"/>
              <w:jc w:val="center"/>
              <w:rPr>
                <w:rFonts w:ascii="仿宋" w:hAnsi="仿宋" w:eastAsia="仿宋"/>
                <w:szCs w:val="21"/>
                <w:highlight w:val="none"/>
              </w:rPr>
            </w:pPr>
          </w:p>
        </w:tc>
        <w:tc>
          <w:tcPr>
            <w:tcW w:w="967"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074"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017"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4689" w:type="dxa"/>
            <w:gridSpan w:val="4"/>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967"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074"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7"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164"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2197"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767"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561"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967" w:type="dxa"/>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/台</w:t>
            </w:r>
            <w:r>
              <w:rPr>
                <w:rFonts w:hint="eastAsia" w:ascii="仿宋" w:hAnsi="仿宋" w:eastAsia="仿宋"/>
                <w:b/>
                <w:szCs w:val="21"/>
                <w:highlight w:val="none"/>
              </w:rPr>
              <w:t>）</w:t>
            </w:r>
          </w:p>
        </w:tc>
        <w:tc>
          <w:tcPr>
            <w:tcW w:w="1246"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1828"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017"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164" w:type="dxa"/>
            <w:vAlign w:val="center"/>
          </w:tcPr>
          <w:p w14:paraId="3E71C584">
            <w:pPr>
              <w:keepNext w:val="0"/>
              <w:keepLines w:val="0"/>
              <w:widowControl/>
              <w:suppressLineNumbers w:val="0"/>
              <w:spacing w:afterLines="0" w:line="440" w:lineRule="exact"/>
              <w:jc w:val="center"/>
              <w:rPr>
                <w:rFonts w:hint="eastAsia" w:ascii="仿宋" w:hAnsi="仿宋" w:eastAsia="仿宋"/>
                <w:szCs w:val="21"/>
                <w:highlight w:val="none"/>
                <w:lang w:val="en-US" w:eastAsia="zh-CN"/>
              </w:rPr>
            </w:pPr>
            <w:r>
              <w:rPr>
                <w:rFonts w:hint="eastAsia" w:ascii="Times New Roman" w:hAnsi="Times New Roman" w:eastAsia="仿宋_GB2312"/>
                <w:bCs/>
                <w:color w:val="000000"/>
                <w:sz w:val="24"/>
                <w:szCs w:val="24"/>
                <w:highlight w:val="none"/>
                <w:lang w:val="en-US" w:eastAsia="zh-CN"/>
              </w:rPr>
              <w:t>进水提升泵维修服务</w:t>
            </w:r>
          </w:p>
        </w:tc>
        <w:tc>
          <w:tcPr>
            <w:tcW w:w="2197" w:type="dxa"/>
            <w:vAlign w:val="center"/>
          </w:tcPr>
          <w:p w14:paraId="08F1A71D">
            <w:pPr>
              <w:keepNext w:val="0"/>
              <w:keepLines w:val="0"/>
              <w:widowControl/>
              <w:suppressLineNumbers w:val="0"/>
              <w:spacing w:afterLines="0" w:line="440" w:lineRule="exact"/>
              <w:jc w:val="center"/>
              <w:rPr>
                <w:rFonts w:hint="eastAsia" w:ascii="Times New Roman" w:hAnsi="Times New Roman" w:eastAsia="仿宋_GB2312" w:cs="Times New Roman"/>
                <w:bCs/>
                <w:color w:val="000000"/>
                <w:kern w:val="2"/>
                <w:sz w:val="20"/>
                <w:szCs w:val="20"/>
                <w:highlight w:val="none"/>
                <w:lang w:val="en-US" w:eastAsia="zh-CN" w:bidi="ar-SA"/>
              </w:rPr>
            </w:pPr>
            <w:r>
              <w:rPr>
                <w:rFonts w:hint="eastAsia" w:ascii="Times New Roman" w:hAnsi="Times New Roman" w:eastAsia="仿宋_GB2312" w:cs="Times New Roman"/>
                <w:bCs/>
                <w:color w:val="000000"/>
                <w:kern w:val="2"/>
                <w:sz w:val="20"/>
                <w:szCs w:val="20"/>
                <w:highlight w:val="none"/>
                <w:lang w:val="en-US" w:eastAsia="zh-CN" w:bidi="ar-SA"/>
              </w:rPr>
              <w:t>海斯特水泵（90KW），H12K-HD1+HE130X4+</w:t>
            </w:r>
          </w:p>
          <w:p w14:paraId="14ECF927">
            <w:pPr>
              <w:keepNext w:val="0"/>
              <w:keepLines w:val="0"/>
              <w:widowControl/>
              <w:suppressLineNumbers w:val="0"/>
              <w:spacing w:afterLines="0" w:line="440" w:lineRule="exact"/>
              <w:jc w:val="center"/>
              <w:rPr>
                <w:rFonts w:hint="eastAsia" w:ascii="Times New Roman" w:hAnsi="Times New Roman" w:eastAsia="仿宋_GB2312" w:cs="Times New Roman"/>
                <w:bCs/>
                <w:color w:val="000000"/>
                <w:kern w:val="2"/>
                <w:sz w:val="20"/>
                <w:szCs w:val="20"/>
                <w:highlight w:val="none"/>
                <w:lang w:val="en-US" w:eastAsia="zh-CN" w:bidi="ar-SA"/>
              </w:rPr>
            </w:pPr>
            <w:r>
              <w:rPr>
                <w:rFonts w:hint="eastAsia" w:ascii="Times New Roman" w:hAnsi="Times New Roman" w:eastAsia="仿宋_GB2312" w:cs="Times New Roman"/>
                <w:bCs/>
                <w:color w:val="000000"/>
                <w:kern w:val="2"/>
                <w:sz w:val="20"/>
                <w:szCs w:val="20"/>
                <w:highlight w:val="none"/>
                <w:lang w:val="en-US" w:eastAsia="zh-CN" w:bidi="ar-SA"/>
              </w:rPr>
              <w:t>NE1B8IM+AS</w:t>
            </w:r>
          </w:p>
          <w:p w14:paraId="7204ECCE">
            <w:pPr>
              <w:keepNext w:val="0"/>
              <w:keepLines w:val="0"/>
              <w:widowControl/>
              <w:suppressLineNumbers w:val="0"/>
              <w:spacing w:afterLines="0" w:line="440" w:lineRule="exact"/>
              <w:jc w:val="center"/>
              <w:rPr>
                <w:rFonts w:hint="eastAsia" w:ascii="仿宋" w:hAnsi="仿宋" w:eastAsia="仿宋"/>
                <w:szCs w:val="21"/>
                <w:highlight w:val="none"/>
              </w:rPr>
            </w:pPr>
            <w:r>
              <w:rPr>
                <w:rFonts w:hint="eastAsia" w:ascii="Times New Roman" w:hAnsi="Times New Roman" w:eastAsia="仿宋_GB2312" w:cs="Times New Roman"/>
                <w:bCs/>
                <w:color w:val="000000"/>
                <w:kern w:val="2"/>
                <w:sz w:val="20"/>
                <w:szCs w:val="20"/>
                <w:highlight w:val="none"/>
                <w:lang w:val="en-US" w:eastAsia="zh-CN" w:bidi="ar-SA"/>
              </w:rPr>
              <w:t>-PH12X300.Q7121</w:t>
            </w:r>
            <w:r>
              <w:rPr>
                <w:rFonts w:hint="eastAsia" w:ascii="Times New Roman" w:hAnsi="Times New Roman" w:eastAsia="仿宋_GB2312" w:cs="Times New Roman"/>
                <w:bCs/>
                <w:color w:val="000000"/>
                <w:kern w:val="2"/>
                <w:sz w:val="22"/>
                <w:szCs w:val="22"/>
                <w:highlight w:val="none"/>
                <w:lang w:val="en-US" w:eastAsia="zh-CN" w:bidi="ar-SA"/>
              </w:rPr>
              <w:t>1</w:t>
            </w:r>
          </w:p>
        </w:tc>
        <w:tc>
          <w:tcPr>
            <w:tcW w:w="767" w:type="dxa"/>
            <w:vAlign w:val="center"/>
          </w:tcPr>
          <w:p w14:paraId="13D2A4C5">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台</w:t>
            </w:r>
          </w:p>
        </w:tc>
        <w:tc>
          <w:tcPr>
            <w:tcW w:w="561" w:type="dxa"/>
            <w:vAlign w:val="center"/>
          </w:tcPr>
          <w:p w14:paraId="79158F50">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5</w:t>
            </w:r>
          </w:p>
        </w:tc>
        <w:tc>
          <w:tcPr>
            <w:tcW w:w="967" w:type="dxa"/>
            <w:vAlign w:val="center"/>
          </w:tcPr>
          <w:p w14:paraId="726AA795">
            <w:pPr>
              <w:spacing w:afterLines="0" w:line="440" w:lineRule="exact"/>
              <w:jc w:val="center"/>
              <w:rPr>
                <w:rFonts w:ascii="仿宋" w:hAnsi="仿宋" w:eastAsia="仿宋"/>
                <w:szCs w:val="21"/>
                <w:highlight w:val="none"/>
              </w:rPr>
            </w:pPr>
          </w:p>
        </w:tc>
        <w:tc>
          <w:tcPr>
            <w:tcW w:w="1246" w:type="dxa"/>
            <w:vAlign w:val="center"/>
          </w:tcPr>
          <w:p w14:paraId="17B83058">
            <w:pPr>
              <w:spacing w:afterLines="0" w:line="440" w:lineRule="exact"/>
              <w:jc w:val="center"/>
              <w:rPr>
                <w:rFonts w:ascii="仿宋" w:hAnsi="仿宋" w:eastAsia="仿宋"/>
                <w:szCs w:val="21"/>
                <w:highlight w:val="none"/>
              </w:rPr>
            </w:pPr>
          </w:p>
        </w:tc>
        <w:tc>
          <w:tcPr>
            <w:tcW w:w="1828" w:type="dxa"/>
            <w:vAlign w:val="center"/>
          </w:tcPr>
          <w:p w14:paraId="5DDA9313">
            <w:pPr>
              <w:spacing w:after="78" w:afterLines="0" w:line="440" w:lineRule="exact"/>
              <w:ind w:firstLineChars="0"/>
              <w:jc w:val="center"/>
              <w:rPr>
                <w:rFonts w:hint="eastAsia" w:ascii="仿宋" w:hAnsi="仿宋" w:eastAsia="仿宋" w:cs="Times New Roman"/>
                <w:sz w:val="21"/>
                <w:szCs w:val="21"/>
                <w:highlight w:val="none"/>
                <w:lang w:val="en-US" w:eastAsia="zh-CN"/>
              </w:rPr>
            </w:pPr>
            <w:r>
              <w:rPr>
                <w:rFonts w:hint="eastAsia" w:ascii="仿宋" w:hAnsi="仿宋" w:eastAsia="仿宋" w:cs="仿宋"/>
                <w:sz w:val="16"/>
                <w:szCs w:val="16"/>
                <w:highlight w:val="none"/>
                <w:lang w:val="en-US" w:eastAsia="zh-CN"/>
              </w:rPr>
              <w:t>服务包含：电机电缆维修保养；轴承、机封更换；泵体、导流筒、叶轮（双相不锈钢）、蜗壳陶瓷防磨修复；水泵拆卸、组装调试等整体各部位大修服务；来回运输服务</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17"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4689" w:type="dxa"/>
            <w:gridSpan w:val="4"/>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967"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074" w:type="dxa"/>
            <w:gridSpan w:val="2"/>
            <w:vAlign w:val="center"/>
          </w:tcPr>
          <w:p w14:paraId="31A02A76">
            <w:pPr>
              <w:spacing w:afterLines="0" w:line="300" w:lineRule="exact"/>
              <w:jc w:val="center"/>
              <w:rPr>
                <w:rFonts w:ascii="仿宋" w:hAnsi="仿宋" w:eastAsia="仿宋"/>
                <w:szCs w:val="21"/>
                <w:highlight w:val="none"/>
              </w:rPr>
            </w:pP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017"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730" w:type="dxa"/>
            <w:gridSpan w:val="7"/>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rPr>
              <w:t>签订单价合同，每批次水泵完成维修安装调试并验收合格后支付该批次服务对应金额的95%，质保期一年满后支付该批次服务金额的5%作为质保金。</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17"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4689" w:type="dxa"/>
            <w:gridSpan w:val="4"/>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收到采购人需求订单后10</w:t>
            </w:r>
            <w:r>
              <w:rPr>
                <w:rFonts w:hint="eastAsia" w:ascii="仿宋" w:hAnsi="仿宋" w:eastAsia="仿宋"/>
                <w:szCs w:val="21"/>
                <w:highlight w:val="none"/>
              </w:rPr>
              <w:t>个日历日内</w:t>
            </w:r>
          </w:p>
        </w:tc>
        <w:tc>
          <w:tcPr>
            <w:tcW w:w="967" w:type="dxa"/>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074"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12个月</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以上报价包括但不限于人员工资和福利、技术服务费、维修费、保险、差旅费、调研费、交通费、办公设施和设备、通讯设备、管理费、利润、增值税税金等与本合同全部工作内容有关的一切费用。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highlight w:val="none"/>
              </w:rPr>
            </w:pPr>
            <w:r>
              <w:rPr>
                <w:rFonts w:hint="eastAsia" w:ascii="仿宋" w:hAnsi="仿宋" w:eastAsia="仿宋"/>
                <w:szCs w:val="21"/>
                <w:highlight w:val="none"/>
              </w:rPr>
              <w:t>4、本采购项目以</w:t>
            </w:r>
            <w:r>
              <w:rPr>
                <w:rFonts w:hint="eastAsia" w:ascii="仿宋" w:hAnsi="仿宋" w:eastAsia="仿宋"/>
                <w:b/>
                <w:bCs/>
                <w:szCs w:val="21"/>
                <w:highlight w:val="none"/>
              </w:rPr>
              <w:t>不含税价进行对比</w:t>
            </w:r>
            <w:r>
              <w:rPr>
                <w:rFonts w:hint="eastAsia" w:ascii="仿宋" w:hAnsi="仿宋" w:eastAsia="仿宋"/>
                <w:szCs w:val="21"/>
                <w:highlight w:val="none"/>
              </w:rPr>
              <w:t>，不含税价计算方式：不含税价=含税价/（1+税率）；</w:t>
            </w:r>
          </w:p>
          <w:p w14:paraId="6E60D539">
            <w:pPr>
              <w:spacing w:afterLines="0" w:line="300" w:lineRule="exact"/>
              <w:jc w:val="left"/>
              <w:rPr>
                <w:highlight w:val="none"/>
              </w:rPr>
            </w:pPr>
            <w:r>
              <w:rPr>
                <w:rFonts w:hint="eastAsia" w:ascii="仿宋" w:hAnsi="仿宋" w:eastAsia="仿宋"/>
                <w:szCs w:val="21"/>
                <w:highlight w:val="none"/>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356FF802">
      <w:pPr>
        <w:snapToGrid w:val="0"/>
        <w:spacing w:afterLines="0" w:line="360" w:lineRule="auto"/>
        <w:jc w:val="both"/>
        <w:rPr>
          <w:rFonts w:ascii="仿宋" w:hAnsi="仿宋" w:eastAsia="仿宋" w:cs="Arial"/>
          <w:highlight w:val="none"/>
        </w:rPr>
      </w:pPr>
    </w:p>
    <w:p w14:paraId="3AF95D84">
      <w:pPr>
        <w:wordWrap w:val="0"/>
        <w:snapToGrid w:val="0"/>
        <w:spacing w:afterLines="0" w:line="360" w:lineRule="auto"/>
        <w:ind w:firstLine="525" w:firstLineChars="250"/>
        <w:jc w:val="right"/>
        <w:rPr>
          <w:rFonts w:ascii="仿宋" w:hAnsi="仿宋" w:eastAsia="仿宋" w:cs="Arial"/>
          <w:highlight w:val="none"/>
        </w:rPr>
      </w:pPr>
      <w:r>
        <w:rPr>
          <w:rFonts w:hint="eastAsia" w:ascii="仿宋" w:hAnsi="仿宋" w:eastAsia="仿宋" w:cs="Arial"/>
          <w:highlight w:val="none"/>
        </w:rPr>
        <w:t xml:space="preserve">    报价单位盖章 </w:t>
      </w:r>
      <w:r>
        <w:rPr>
          <w:rFonts w:ascii="仿宋" w:hAnsi="仿宋" w:eastAsia="仿宋" w:cs="Arial"/>
          <w:highlight w:val="none"/>
        </w:rPr>
        <w:t xml:space="preserve">          </w:t>
      </w:r>
    </w:p>
    <w:p w14:paraId="063B18E8">
      <w:pPr>
        <w:spacing w:after="78" w:line="288" w:lineRule="auto"/>
        <w:jc w:val="right"/>
        <w:rPr>
          <w:rFonts w:ascii="仿宋" w:hAnsi="仿宋" w:eastAsia="仿宋"/>
          <w:b/>
          <w:szCs w:val="21"/>
          <w:highlight w:val="none"/>
        </w:rPr>
      </w:pPr>
      <w:r>
        <w:rPr>
          <w:rFonts w:hint="eastAsia" w:ascii="仿宋" w:hAnsi="仿宋" w:eastAsia="仿宋" w:cs="Arial"/>
          <w:highlight w:val="none"/>
        </w:rPr>
        <w:t xml:space="preserve">时间：    年      月   日   </w:t>
      </w:r>
      <w:r>
        <w:rPr>
          <w:rFonts w:ascii="仿宋" w:hAnsi="仿宋" w:eastAsia="仿宋"/>
          <w:b/>
          <w:szCs w:val="21"/>
          <w:highlight w:val="none"/>
        </w:rPr>
        <w:br w:type="page"/>
      </w:r>
    </w:p>
    <w:p w14:paraId="63D61501">
      <w:pPr>
        <w:spacing w:after="78" w:line="288" w:lineRule="auto"/>
        <w:rPr>
          <w:rFonts w:ascii="仿宋" w:hAnsi="仿宋" w:eastAsia="仿宋"/>
          <w:b/>
          <w:szCs w:val="21"/>
          <w:highlight w:val="none"/>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bookmarkStart w:id="9" w:name="_Toc133335897"/>
      <w:bookmarkStart w:id="10" w:name="_Toc116850266"/>
      <w:r>
        <w:rPr>
          <w:rFonts w:hint="eastAsia" w:ascii="仿宋" w:hAnsi="仿宋" w:eastAsia="仿宋"/>
          <w:b/>
          <w:bCs/>
          <w:kern w:val="0"/>
          <w:sz w:val="24"/>
          <w:highlight w:val="none"/>
        </w:rPr>
        <w:t>响应供应商认为有必要提供的其他材料</w:t>
      </w:r>
      <w:bookmarkEnd w:id="9"/>
      <w:bookmarkEnd w:id="10"/>
    </w:p>
    <w:p w14:paraId="0D3B36DD">
      <w:pPr>
        <w:spacing w:after="78" w:line="288" w:lineRule="auto"/>
        <w:rPr>
          <w:rFonts w:ascii="仿宋" w:hAnsi="仿宋" w:eastAsia="仿宋"/>
          <w:b/>
          <w:szCs w:val="21"/>
          <w:highlight w:val="none"/>
        </w:rPr>
      </w:pPr>
    </w:p>
    <w:p w14:paraId="182CD3FC">
      <w:pPr>
        <w:spacing w:after="78" w:line="288" w:lineRule="auto"/>
        <w:rPr>
          <w:rFonts w:hint="eastAsia" w:ascii="仿宋" w:hAnsi="仿宋" w:eastAsia="仿宋"/>
          <w:b/>
          <w:szCs w:val="21"/>
          <w:highlight w:val="none"/>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319C"/>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487A2C"/>
    <w:rsid w:val="04A6769A"/>
    <w:rsid w:val="04CE404E"/>
    <w:rsid w:val="06DF0467"/>
    <w:rsid w:val="06F9F432"/>
    <w:rsid w:val="08937765"/>
    <w:rsid w:val="0A2C5771"/>
    <w:rsid w:val="0A886720"/>
    <w:rsid w:val="0B0E30C9"/>
    <w:rsid w:val="0BEB340A"/>
    <w:rsid w:val="0D7F8C1E"/>
    <w:rsid w:val="0DAFDDD2"/>
    <w:rsid w:val="0FD61205"/>
    <w:rsid w:val="10DD77C5"/>
    <w:rsid w:val="11D010D8"/>
    <w:rsid w:val="11F508E9"/>
    <w:rsid w:val="13165211"/>
    <w:rsid w:val="13AFEC81"/>
    <w:rsid w:val="161B3F59"/>
    <w:rsid w:val="1731145D"/>
    <w:rsid w:val="17A305D2"/>
    <w:rsid w:val="19A00859"/>
    <w:rsid w:val="19C91652"/>
    <w:rsid w:val="1B3C6FE2"/>
    <w:rsid w:val="1B3FC108"/>
    <w:rsid w:val="1BBF5AD0"/>
    <w:rsid w:val="1BFB4A9B"/>
    <w:rsid w:val="1BFE3282"/>
    <w:rsid w:val="1D8C1793"/>
    <w:rsid w:val="1DC4251B"/>
    <w:rsid w:val="1EBD0C36"/>
    <w:rsid w:val="1F0F1A56"/>
    <w:rsid w:val="1F7F9C30"/>
    <w:rsid w:val="1FB39FF7"/>
    <w:rsid w:val="1FB54372"/>
    <w:rsid w:val="1FFF4E3F"/>
    <w:rsid w:val="226625B2"/>
    <w:rsid w:val="237962D0"/>
    <w:rsid w:val="238C1B25"/>
    <w:rsid w:val="23D902C0"/>
    <w:rsid w:val="240D38F9"/>
    <w:rsid w:val="24A55982"/>
    <w:rsid w:val="257FF5EF"/>
    <w:rsid w:val="27BED872"/>
    <w:rsid w:val="29E9B391"/>
    <w:rsid w:val="2A5174E9"/>
    <w:rsid w:val="2AE06094"/>
    <w:rsid w:val="2AFDB16C"/>
    <w:rsid w:val="2B444A82"/>
    <w:rsid w:val="2B7D8E96"/>
    <w:rsid w:val="2B9B7C50"/>
    <w:rsid w:val="2C87EFA4"/>
    <w:rsid w:val="2CEFA2BD"/>
    <w:rsid w:val="2D743EA5"/>
    <w:rsid w:val="2D9E346A"/>
    <w:rsid w:val="2E2760CC"/>
    <w:rsid w:val="2EFF028F"/>
    <w:rsid w:val="2EFF0385"/>
    <w:rsid w:val="2F5559A9"/>
    <w:rsid w:val="2FDFB298"/>
    <w:rsid w:val="2FEBB001"/>
    <w:rsid w:val="30BF60A9"/>
    <w:rsid w:val="30EE09A0"/>
    <w:rsid w:val="31372F12"/>
    <w:rsid w:val="313905F0"/>
    <w:rsid w:val="315563D4"/>
    <w:rsid w:val="340E3EBE"/>
    <w:rsid w:val="355D3F58"/>
    <w:rsid w:val="36B91E0A"/>
    <w:rsid w:val="377B856B"/>
    <w:rsid w:val="37FEEEDA"/>
    <w:rsid w:val="391FB7C6"/>
    <w:rsid w:val="3956852C"/>
    <w:rsid w:val="397D4866"/>
    <w:rsid w:val="3A3B0BB3"/>
    <w:rsid w:val="3A51BFC5"/>
    <w:rsid w:val="3A63289C"/>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462C77"/>
    <w:rsid w:val="3E467169"/>
    <w:rsid w:val="3EA56580"/>
    <w:rsid w:val="3EA7FE48"/>
    <w:rsid w:val="3EF86484"/>
    <w:rsid w:val="3EFBCAFF"/>
    <w:rsid w:val="3EFFC981"/>
    <w:rsid w:val="3F7F4051"/>
    <w:rsid w:val="3FBF5430"/>
    <w:rsid w:val="3FD37539"/>
    <w:rsid w:val="3FDFD096"/>
    <w:rsid w:val="3FED8FF1"/>
    <w:rsid w:val="3FFCCAC4"/>
    <w:rsid w:val="3FFE10BE"/>
    <w:rsid w:val="417EEE12"/>
    <w:rsid w:val="42652233"/>
    <w:rsid w:val="428E3A55"/>
    <w:rsid w:val="44292F68"/>
    <w:rsid w:val="46322A83"/>
    <w:rsid w:val="46AD4503"/>
    <w:rsid w:val="473F1E4D"/>
    <w:rsid w:val="47741147"/>
    <w:rsid w:val="477F8B44"/>
    <w:rsid w:val="48C34B05"/>
    <w:rsid w:val="494B2855"/>
    <w:rsid w:val="49C317F9"/>
    <w:rsid w:val="4ACDDF1D"/>
    <w:rsid w:val="4B694C54"/>
    <w:rsid w:val="4BBA3990"/>
    <w:rsid w:val="4DFF1032"/>
    <w:rsid w:val="4EFDA9D6"/>
    <w:rsid w:val="4EFF30A2"/>
    <w:rsid w:val="4F10078B"/>
    <w:rsid w:val="4F155DA1"/>
    <w:rsid w:val="4F4F0D8E"/>
    <w:rsid w:val="4FF9BA94"/>
    <w:rsid w:val="4FFC2348"/>
    <w:rsid w:val="557F0F30"/>
    <w:rsid w:val="559E5CE3"/>
    <w:rsid w:val="56DD8954"/>
    <w:rsid w:val="570959A2"/>
    <w:rsid w:val="5718258C"/>
    <w:rsid w:val="5741663D"/>
    <w:rsid w:val="57AFC3C2"/>
    <w:rsid w:val="58300956"/>
    <w:rsid w:val="58E24953"/>
    <w:rsid w:val="59FF3A15"/>
    <w:rsid w:val="5AFFC0B6"/>
    <w:rsid w:val="5BB64468"/>
    <w:rsid w:val="5BFAA3C6"/>
    <w:rsid w:val="5C163B75"/>
    <w:rsid w:val="5C45134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54FD8A0"/>
    <w:rsid w:val="66261652"/>
    <w:rsid w:val="667E7C49"/>
    <w:rsid w:val="66B93803"/>
    <w:rsid w:val="67194FDD"/>
    <w:rsid w:val="6775E9D8"/>
    <w:rsid w:val="67EC7193"/>
    <w:rsid w:val="67F565AC"/>
    <w:rsid w:val="67F73327"/>
    <w:rsid w:val="68DE13FC"/>
    <w:rsid w:val="68FA8082"/>
    <w:rsid w:val="69100611"/>
    <w:rsid w:val="69BF38A2"/>
    <w:rsid w:val="69EFC425"/>
    <w:rsid w:val="6A236290"/>
    <w:rsid w:val="6A613480"/>
    <w:rsid w:val="6ACFA4E7"/>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196D90"/>
    <w:rsid w:val="6F36F6F4"/>
    <w:rsid w:val="6FA6DB15"/>
    <w:rsid w:val="6FAB380F"/>
    <w:rsid w:val="6FBADB8D"/>
    <w:rsid w:val="6FDDBDCB"/>
    <w:rsid w:val="6FEAAF68"/>
    <w:rsid w:val="6FFA9CDC"/>
    <w:rsid w:val="6FFB74FC"/>
    <w:rsid w:val="6FFDAE21"/>
    <w:rsid w:val="6FFE89B2"/>
    <w:rsid w:val="6FFF16F2"/>
    <w:rsid w:val="6FFFEBAB"/>
    <w:rsid w:val="705FDC4F"/>
    <w:rsid w:val="71D3FAB0"/>
    <w:rsid w:val="72F018C8"/>
    <w:rsid w:val="738753C2"/>
    <w:rsid w:val="73EFA308"/>
    <w:rsid w:val="75FB540A"/>
    <w:rsid w:val="76101A2A"/>
    <w:rsid w:val="767774B9"/>
    <w:rsid w:val="767F8E38"/>
    <w:rsid w:val="76A50F01"/>
    <w:rsid w:val="76C15DFA"/>
    <w:rsid w:val="76DF1811"/>
    <w:rsid w:val="76F74DDF"/>
    <w:rsid w:val="773EFEC2"/>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2">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3"/>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1"/>
    <w:semiHidden/>
    <w:unhideWhenUsed/>
    <w:qFormat/>
    <w:uiPriority w:val="0"/>
    <w:pPr>
      <w:spacing w:after="120" w:line="480" w:lineRule="auto"/>
      <w:ind w:left="420" w:leftChars="200"/>
    </w:pPr>
  </w:style>
  <w:style w:type="paragraph" w:styleId="12">
    <w:name w:val="Balloon Text"/>
    <w:basedOn w:val="1"/>
    <w:link w:val="32"/>
    <w:qFormat/>
    <w:uiPriority w:val="0"/>
    <w:pPr>
      <w:spacing w:line="240" w:lineRule="auto"/>
    </w:pPr>
    <w:rPr>
      <w:sz w:val="18"/>
      <w:szCs w:val="18"/>
    </w:rPr>
  </w:style>
  <w:style w:type="paragraph" w:styleId="13">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toc 2"/>
    <w:basedOn w:val="1"/>
    <w:next w:val="1"/>
    <w:qFormat/>
    <w:uiPriority w:val="0"/>
    <w:pPr>
      <w:ind w:left="420" w:leftChars="200"/>
    </w:pPr>
  </w:style>
  <w:style w:type="paragraph" w:styleId="17">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8">
    <w:name w:val="annotation subject"/>
    <w:basedOn w:val="7"/>
    <w:next w:val="7"/>
    <w:link w:val="34"/>
    <w:qFormat/>
    <w:uiPriority w:val="0"/>
    <w:pPr>
      <w:spacing w:afterLines="25" w:line="300" w:lineRule="auto"/>
    </w:pPr>
    <w:rPr>
      <w:rFonts w:ascii="Arial" w:hAnsi="Arial"/>
      <w:b/>
      <w:bCs/>
    </w:rPr>
  </w:style>
  <w:style w:type="paragraph" w:styleId="19">
    <w:name w:val="Body Text First Indent 2"/>
    <w:basedOn w:val="9"/>
    <w:link w:val="55"/>
    <w:qFormat/>
    <w:uiPriority w:val="99"/>
    <w:pPr>
      <w:ind w:firstLine="420" w:firstLineChars="200"/>
    </w:pPr>
  </w:style>
  <w:style w:type="table" w:styleId="21">
    <w:name w:val="Table Grid"/>
    <w:basedOn w:val="2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basedOn w:val="22"/>
    <w:unhideWhenUsed/>
    <w:qFormat/>
    <w:uiPriority w:val="99"/>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paragraph" w:customStyle="1" w:styleId="26">
    <w:name w:val="Index8"/>
    <w:basedOn w:val="1"/>
    <w:next w:val="1"/>
    <w:qFormat/>
    <w:uiPriority w:val="0"/>
    <w:pPr>
      <w:ind w:left="3920" w:leftChars="1400"/>
      <w:jc w:val="left"/>
      <w:textAlignment w:val="baseline"/>
    </w:p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2"/>
    <w:link w:val="12"/>
    <w:qFormat/>
    <w:uiPriority w:val="0"/>
    <w:rPr>
      <w:rFonts w:ascii="Arial" w:hAnsi="Arial" w:eastAsia="宋体" w:cs="Times New Roman"/>
      <w:kern w:val="2"/>
      <w:sz w:val="18"/>
      <w:szCs w:val="18"/>
    </w:rPr>
  </w:style>
  <w:style w:type="character" w:customStyle="1" w:styleId="33">
    <w:name w:val="批注文字 字符"/>
    <w:basedOn w:val="22"/>
    <w:link w:val="7"/>
    <w:qFormat/>
    <w:uiPriority w:val="99"/>
    <w:rPr>
      <w:rFonts w:ascii="Times New Roman" w:hAnsi="Times New Roman" w:eastAsia="宋体" w:cs="Times New Roman"/>
      <w:kern w:val="2"/>
      <w:sz w:val="21"/>
      <w:szCs w:val="24"/>
    </w:rPr>
  </w:style>
  <w:style w:type="character" w:customStyle="1" w:styleId="34">
    <w:name w:val="批注主题 字符"/>
    <w:basedOn w:val="33"/>
    <w:link w:val="18"/>
    <w:qFormat/>
    <w:uiPriority w:val="0"/>
    <w:rPr>
      <w:rFonts w:ascii="Arial" w:hAnsi="Arial" w:eastAsia="宋体" w:cs="Times New Roman"/>
      <w:b/>
      <w:bCs/>
      <w:kern w:val="2"/>
      <w:sz w:val="21"/>
      <w:szCs w:val="24"/>
    </w:rPr>
  </w:style>
  <w:style w:type="character" w:customStyle="1" w:styleId="35">
    <w:name w:val="font01"/>
    <w:basedOn w:val="22"/>
    <w:qFormat/>
    <w:uiPriority w:val="0"/>
    <w:rPr>
      <w:rFonts w:hint="eastAsia" w:ascii="宋体" w:hAnsi="宋体" w:eastAsia="宋体"/>
      <w:color w:val="000000"/>
      <w:sz w:val="20"/>
      <w:szCs w:val="20"/>
      <w:u w:val="none"/>
      <w:vertAlign w:val="superscript"/>
    </w:rPr>
  </w:style>
  <w:style w:type="character" w:customStyle="1" w:styleId="36">
    <w:name w:val="font31"/>
    <w:basedOn w:val="22"/>
    <w:qFormat/>
    <w:uiPriority w:val="0"/>
    <w:rPr>
      <w:rFonts w:hint="eastAsia" w:ascii="宋体" w:hAnsi="宋体" w:eastAsia="宋体"/>
      <w:color w:val="000000"/>
      <w:sz w:val="20"/>
      <w:szCs w:val="20"/>
      <w:u w:val="none"/>
    </w:rPr>
  </w:style>
  <w:style w:type="character" w:customStyle="1" w:styleId="37">
    <w:name w:val="页脚 字符"/>
    <w:basedOn w:val="22"/>
    <w:link w:val="13"/>
    <w:qFormat/>
    <w:uiPriority w:val="99"/>
    <w:rPr>
      <w:rFonts w:ascii="Arial" w:hAnsi="Arial" w:eastAsia="楷体_GB2312" w:cs="Times New Roman"/>
      <w:sz w:val="18"/>
      <w:szCs w:val="18"/>
    </w:rPr>
  </w:style>
  <w:style w:type="character" w:customStyle="1" w:styleId="38">
    <w:name w:val="页眉 字符"/>
    <w:basedOn w:val="22"/>
    <w:link w:val="14"/>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2"/>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2"/>
    <w:link w:val="5"/>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2"/>
    <w:qFormat/>
    <w:uiPriority w:val="0"/>
    <w:rPr>
      <w:rFonts w:hint="eastAsia" w:ascii="宋体" w:hAnsi="宋体" w:eastAsia="宋体"/>
      <w:color w:val="000000"/>
      <w:sz w:val="18"/>
      <w:szCs w:val="18"/>
      <w:u w:val="none"/>
    </w:rPr>
  </w:style>
  <w:style w:type="character" w:customStyle="1" w:styleId="51">
    <w:name w:val="font11"/>
    <w:basedOn w:val="22"/>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2"/>
    <w:link w:val="19"/>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2"/>
    <w:link w:val="11"/>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29</Pages>
  <Words>7509</Words>
  <Characters>8019</Characters>
  <Lines>59</Lines>
  <Paragraphs>16</Paragraphs>
  <TotalTime>69</TotalTime>
  <ScaleCrop>false</ScaleCrop>
  <LinksUpToDate>false</LinksUpToDate>
  <CharactersWithSpaces>8569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2025-09-09T06:29:00Z</cp:lastPrinted>
  <dcterms:modified xsi:type="dcterms:W3CDTF">2026-04-20T08:44:19Z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